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2C219" w14:textId="1BDC66CF" w:rsidR="00C81D34" w:rsidRDefault="00030CBD" w:rsidP="00C81D34">
      <w:pPr>
        <w:jc w:val="center"/>
        <w:rPr>
          <w:rFonts w:ascii="Times New Roman" w:hAnsi="Times New Roman" w:cs="Times New Roman"/>
          <w:b/>
        </w:rPr>
      </w:pPr>
      <w:r w:rsidRPr="00030CBD">
        <w:rPr>
          <w:rFonts w:ascii="Times New Roman" w:hAnsi="Times New Roman" w:cs="Times New Roman"/>
          <w:b/>
        </w:rPr>
        <w:t>Forests on the Move: Tracking Climate Change in Montane Forests of the Northeast</w:t>
      </w:r>
    </w:p>
    <w:p w14:paraId="7160C433" w14:textId="77777777" w:rsidR="00030CBD" w:rsidRPr="00183428" w:rsidRDefault="00030CBD" w:rsidP="00C81D34">
      <w:pPr>
        <w:jc w:val="center"/>
        <w:rPr>
          <w:rFonts w:ascii="Times New Roman" w:hAnsi="Times New Roman" w:cs="Times New Roman"/>
          <w:b/>
        </w:rPr>
      </w:pPr>
    </w:p>
    <w:p w14:paraId="1D9D2FFF" w14:textId="1EA6CD98" w:rsidR="00C81D34" w:rsidRPr="00183428" w:rsidRDefault="00233EDC" w:rsidP="00C81D34">
      <w:pPr>
        <w:jc w:val="center"/>
        <w:rPr>
          <w:rFonts w:ascii="Times New Roman" w:hAnsi="Times New Roman" w:cs="Times New Roman"/>
        </w:rPr>
      </w:pPr>
      <w:r>
        <w:rPr>
          <w:rFonts w:ascii="Times New Roman" w:hAnsi="Times New Roman" w:cs="Times New Roman"/>
        </w:rPr>
        <w:t>Jordon Tourville</w:t>
      </w:r>
    </w:p>
    <w:p w14:paraId="3247074E" w14:textId="77777777" w:rsidR="00C81D34" w:rsidRPr="00183428" w:rsidRDefault="00C81D34" w:rsidP="00C81D34">
      <w:pPr>
        <w:jc w:val="center"/>
        <w:rPr>
          <w:rFonts w:ascii="Times New Roman" w:hAnsi="Times New Roman" w:cs="Times New Roman"/>
        </w:rPr>
      </w:pPr>
      <w:r w:rsidRPr="00183428">
        <w:rPr>
          <w:rFonts w:ascii="Times New Roman" w:hAnsi="Times New Roman" w:cs="Times New Roman"/>
        </w:rPr>
        <w:t>SUNY College of Environmental Science and Forestry</w:t>
      </w:r>
    </w:p>
    <w:p w14:paraId="69F0019E" w14:textId="77777777" w:rsidR="00C81D34" w:rsidRPr="00183428" w:rsidRDefault="00C81D34" w:rsidP="00C81D34">
      <w:pPr>
        <w:jc w:val="center"/>
        <w:rPr>
          <w:rFonts w:ascii="Times New Roman" w:hAnsi="Times New Roman" w:cs="Times New Roman"/>
        </w:rPr>
      </w:pPr>
      <w:r w:rsidRPr="00183428">
        <w:rPr>
          <w:rFonts w:ascii="Times New Roman" w:hAnsi="Times New Roman" w:cs="Times New Roman"/>
        </w:rPr>
        <w:t>Final Report to the Edna Bailey Sussman Foundation</w:t>
      </w:r>
    </w:p>
    <w:p w14:paraId="377AF2C6" w14:textId="3BE292C5" w:rsidR="00C81D34" w:rsidRPr="00183428" w:rsidRDefault="00C81D34" w:rsidP="00C81D34">
      <w:pPr>
        <w:jc w:val="center"/>
        <w:rPr>
          <w:rFonts w:ascii="Times New Roman" w:hAnsi="Times New Roman" w:cs="Times New Roman"/>
          <w:b/>
        </w:rPr>
      </w:pPr>
      <w:r w:rsidRPr="00183428">
        <w:rPr>
          <w:rFonts w:ascii="Times New Roman" w:hAnsi="Times New Roman" w:cs="Times New Roman"/>
        </w:rPr>
        <w:t>20</w:t>
      </w:r>
      <w:r w:rsidR="00233EDC">
        <w:rPr>
          <w:rFonts w:ascii="Times New Roman" w:hAnsi="Times New Roman" w:cs="Times New Roman"/>
        </w:rPr>
        <w:t>21</w:t>
      </w:r>
    </w:p>
    <w:p w14:paraId="02C070BF" w14:textId="77777777" w:rsidR="00C81D34" w:rsidRPr="00183428" w:rsidRDefault="00C81D34" w:rsidP="00C81D34">
      <w:pPr>
        <w:jc w:val="center"/>
        <w:rPr>
          <w:rFonts w:ascii="Times New Roman" w:hAnsi="Times New Roman" w:cs="Times New Roman"/>
          <w:b/>
        </w:rPr>
      </w:pPr>
    </w:p>
    <w:p w14:paraId="67FF2021" w14:textId="7FDCA3F4" w:rsidR="00C81D34" w:rsidRDefault="00C81D34" w:rsidP="001634E7">
      <w:pPr>
        <w:spacing w:line="360" w:lineRule="auto"/>
        <w:rPr>
          <w:rFonts w:ascii="Times New Roman" w:hAnsi="Times New Roman" w:cs="Times New Roman"/>
          <w:b/>
        </w:rPr>
      </w:pPr>
      <w:r w:rsidRPr="00183428">
        <w:rPr>
          <w:rFonts w:ascii="Times New Roman" w:hAnsi="Times New Roman" w:cs="Times New Roman"/>
          <w:b/>
        </w:rPr>
        <w:t>Introduction</w:t>
      </w:r>
    </w:p>
    <w:p w14:paraId="20320D38" w14:textId="01954C37" w:rsidR="001634E7" w:rsidRPr="001634E7" w:rsidRDefault="001634E7" w:rsidP="001634E7">
      <w:pPr>
        <w:spacing w:after="160" w:line="360" w:lineRule="auto"/>
        <w:ind w:firstLine="720"/>
        <w:rPr>
          <w:rFonts w:ascii="Times New Roman" w:eastAsia="Calibri" w:hAnsi="Times New Roman" w:cs="Times New Roman"/>
        </w:rPr>
      </w:pPr>
      <w:r w:rsidRPr="001634E7">
        <w:rPr>
          <w:rFonts w:ascii="Times New Roman" w:eastAsia="Calibri" w:hAnsi="Times New Roman" w:cs="Times New Roman"/>
        </w:rPr>
        <w:t>Global change drivers, such as climate change acting in concert with competition, have the potential to greatly influence the spatial distribution of plant species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{"citationItems":[{"id":"ITEM-1","itemData":{"author":[{"dropping-particle":"","family":"J Lenoir, JC Gégout, JC Pierrat, JD Bontemps","given":"JF Dhôte","non-dropping-particle":"","parse-names":false,"suffix":""}],"container-title":"Ecography","id":"ITEM-1","issue":"1","issued":{"date-parts":[["2009"]]},"page":"152-171","title":"Differences between tree species seedling and adult altitudinal distribution in mountain forests during the recent warm period (1986-2006)","type":"article-journal","volume":"66"},"uris":["http://www.mendeley.com/documents/?uuid=932e4a65-83cd-46b5-a13d-96e7159a6f99"]}],"mendeley":{"formattedCitation":"(J Lenoir, JC Gégout, JC Pierrat, JD Bontemps, 2009)","manualFormatting":"Lenoir et al. 2009)","plainTextFormattedCitation":"(J Lenoir, JC Gégout, JC Pierrat, JD Bontemps, 2009)","previouslyFormattedCitation":"(J Lenoir, JC Gégout, JC Pierrat, JD Bontemps, 2009)"},"properties":{"noteIndex":0},"schema":"https://github.com/citation-style-language/schema/raw/master/csl-citation.json"}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Lenoir</w:t>
      </w:r>
      <w:r w:rsidR="000F572B">
        <w:rPr>
          <w:rFonts w:ascii="Times New Roman" w:eastAsia="Calibri" w:hAnsi="Times New Roman" w:cs="Times New Roman"/>
          <w:noProof/>
        </w:rPr>
        <w:t xml:space="preserve"> et al.</w:t>
      </w:r>
      <w:r w:rsidR="000F572B" w:rsidRPr="000F572B">
        <w:rPr>
          <w:rFonts w:ascii="Times New Roman" w:eastAsia="Calibri" w:hAnsi="Times New Roman" w:cs="Times New Roman"/>
          <w:noProof/>
        </w:rPr>
        <w:t xml:space="preserve"> 200</w:t>
      </w:r>
      <w:r w:rsidR="000F572B">
        <w:rPr>
          <w:rFonts w:ascii="Times New Roman" w:eastAsia="Calibri" w:hAnsi="Times New Roman" w:cs="Times New Roman"/>
          <w:noProof/>
        </w:rPr>
        <w:t>9</w:t>
      </w:r>
      <w:r w:rsidR="000F572B" w:rsidRPr="000F572B">
        <w:rPr>
          <w:rFonts w:ascii="Times New Roman" w:eastAsia="Calibri" w:hAnsi="Times New Roman" w:cs="Times New Roman"/>
          <w:noProof/>
        </w:rPr>
        <w:t>)</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Such changes in species distributions have already been demonstrated and are predicted to continue in the coming century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{"citationItems":[{"id":"ITEM-1","itemData":{"DOI":"10.1016/j.foreco.2007.07.023","ISSN":"03781127","abstract":"We modeled and mapped, using the predictive data mining tool Random Forests, 134 tree species from the eastern United States for potential response to several scenarios of climate change. Each species was modeled individually to show current and potential future habitats according to two emission scenarios (high emissions on current trajectory and reasonable conservation of energy implemented) and three climate models: the Parallel Climate Model, the Hadley CM3 model, and the Geophysical Fluid Dynamics Laboratory model. Since we model potential suitable habitats of species, our results should not be interpreted as actual changes in ranges of the species. We also evaluated both emission scenarios under an \"average\" future climate from all three models. Climate change could have large impacts on suitable habitat for tree species in the eastern United States, especially under a high emissions trajectory. Of the 134 species, approximately 66 species would gain and 54 species would lose at least 10% of their suitable habitat under climate change. A lower emission pathway would result in lower numbers of both losers and gainers. When the mean centers, i.e. center of gravity, of current and potential future habitat are evaluated, most of the species habitat moves generally northeast, up to 800 km in the hottest scenario and highest emissions trajectory. The models suggest a retreat of the spruce-fir zone and an advance of the southern oaks and pines. In any case, our results show that species will have a lot less pressure to move their suitable habitats if we follow the path of lower emissions of greenhouse gases. The information contained in this paper, and much more, is detailed on our website: http://www.nrs.fs.fed.us/atlas.","author":[{"dropping-particle":"","family":"Iverson","given":"Louis R.","non-dropping-particle":"","parse-names":false,"suffix":""},{"dropping-particle":"","family":"Prasad","given":"Anantha M.","non-dropping-particle":"","parse-names":false,"suffix":""},{"dropping-particle":"","family":"Matthews","given":"Stephen N.","non-dropping-particle":"","parse-names":false,"suffix":""},{"dropping-particle":"","family":"Peters","given":"Matthew","non-dropping-particle":"","parse-names":false,"suffix":""}],"container-title":"Forest Ecology and Management","id":"ITEM-1","issue":"3","issued":{"date-parts":[["2008"]]},"page":"390-406","title":"Estimating potential habitat for 134 eastern US tree species under six climate scenarios","type":"article-journal","volume":"254"},"uris":["http://www.mendeley.com/documents/?uuid=315c31d9-ff89-4d36-97ea-f7f1cbef638b"]}],"mendeley":{"formattedCitation":"(Iverson et al., 2008)","manualFormatting":"(Iverson et al. 2008)","plainTextFormattedCitation":"(Iverson et al., 2008)","previouslyFormattedCitation":"(Iverson et al., 2008)"},"properties":{"noteIndex":0},"schema":"https://github.com/citation-style-language/schema/raw/master/csl-citation.json"}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(Iverson et al. 2008)</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Tree species will be especially susceptible to changes in climate given their slow growth, dependence on climate sensitive dispersal agents, and slow adult population turnover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{"citationItems":[{"id":"ITEM-1","itemData":{"DOI":"10.1641/B571106","ISSN":"00063568","abstract":"Currently predicted change in climate could strongly affect plant distributions during the next century. Here we determine the present-day climatic niches for 130 North American tree species. We then locate the climatic conditions of these niches on maps of predicted future climate, indicating where each species could potentially occur by the end of the century. A major unknown in this work is the extent to which populations of trees will actually track climate shifts through migration. We therefore present two extreme scenarios in which species either move entirely into future climatic niches or do not move out of their current niches. In the full-dispersal scenario, future potential ranges show decreases and increases in size, with an average decrease of 12% and a northward shift of 700 kilometers (km). In the no-dispersal scenario, potential ranges decrease in size by 58% and shift northward by 330 km. Major redistribution pressures appear to be in order under both dispersal scenarios. © 2007 American Institute of Biological Sciences.","author":[{"dropping-particle":"","family":"McKenney","given":"Daniel W.","non-dropping-particle":"","parse-names":false,"suffix":""},{"dropping-particle":"","family":"Pedlar","given":"John H.","non-dropping-particle":"","parse-names":false,"suffix":""},{"dropping-particle":"","family":"Lawrence","given":"Kevin","non-dropping-particle":"","parse-names":false,"suffix":""},{"dropping-particle":"","family":"Campbell","given":"Kathy","non-dropping-particle":"","parse-names":false,"suffix":""},{"dropping-particle":"","family":"Hutchinson","given":"Michael F.","non-dropping-particle":"","parse-names":false,"suffix":""}],"container-title":"BioScience","id":"ITEM-1","issue":"11","issued":{"date-parts":[["2007"]]},"page":"939-948","title":"Potential impacts of climate change on the distribution of North American trees","type":"article-journal","volume":"57"},"uris":["http://www.mendeley.com/documents/?uuid=6301f865-a2dd-436e-8c70-acfcfbb5e35a"]},{"id":"ITEM-2","itemData":{"DOI":"10.1111/j.1752-4571.2007.00013.x","ISBN":"1604822910","abstract":"Species distribution models predict a wholesale redistribution of trees in the next century, yet migratory responses necessary to spatially track climates far exceed maximum post-glacial rates. The extent to which populations will adapt will depend upon phenotypic variation, strength of selection, fecundity, inter- specific competition, and biotic interactions. Populations of temperate and bor- eal trees show moderate to strong clines in phenology and growth along temperature gradients, indicating substantial local adaptation. Traits involved in local adaptation appear to be the product of small effects of many genes, and the resulting genotypic redundancy combined with high fecundity may facilitate rapid local adaptation despite high gene flow. Gene flow with pre- adapted alleles from warmer climates may promote adaptation and migration at the leading edge, while populations at the rear will likely face extirpation. Widespread species with large populations and high fecundity are likely to per- sist and adapt, but will likely suffer adaptational lag for a few generations. As all tree species will be suffering lags, interspecific competition may weaken, facilitating persistence under suboptimal conditions. Species with small popula- tions, fragmented ranges, low fecundity, or suffering declines due to introduced insects or diseases should be candidates for facilitated migration. Introduction","author":[{"dropping-particle":"","family":"Aitken","given":"Sally N.","non-dropping-particle":"","parse-names":false,"suffix":""},{"dropping-particle":"","family":"Yeaman","given":"Sam","non-dropping-particle":"","parse-names":false,"suffix":""},{"dropping-particle":"","family":"Holliday","given":"Jason A.","non-dropping-particle":"","parse-names":false,"suffix":""},{"dropping-particle":"","family":"Wang","given":"Tongli","non-dropping-particle":"","parse-names":false,"suffix":""},{"dropping-particle":"","family":"Curtis-McLane","given":"Sierra","non-dropping-particle":"","parse-names":false,"suffix":""}],"container-title":"Evolutionary Applications","id":"ITEM-2","issue":"1","issued":{"date-parts":[["2008"]]},"page":"95-111","title":"Adaptation, migration or extirpation: climate change outcomes for tree populations","type":"article-journal","volume":"1"},"uris":["http://www.mendeley.com/documents/?uuid=53c7fec5-c374-4852-b65f-8b2898ccc46c"]}],"mendeley":{"formattedCitation":"(Aitken et al., 2008; McKenney et al., 2007)","manualFormatting":"(Aitken et al. 2008; McKenney et al. 2007)","plainTextFormattedCitation":"(Aitken et al., 2008; McKenney et al., 2007)","previouslyFormattedCitation":"(Aitken et al., 2008; McKenney et al., 2007)"},"properties":{"noteIndex":0},"schema":"https://github.com/citation-style-language/schema/raw/master/csl-citation.json"}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(Aitken et al. 2008; McKenney et al. 2007)</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Trees perform a wide array of important ecosystem services including nutrient cycling, carbon sequestration, and habitat provisioning, thus, understanding how they will be affected by global change drivers is of paramount importance for ecosystems and humans alike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{"citationItems":[{"id":"ITEM-1","itemData":{"DOI":"10.1111/j.1461-0248.2011.01598.x","ISSN":"1461023X","PMID":"21332901","abstract":"Global vegetation models predict that boreal forests are particularly sensitive to a biome shift during the 21st century. This shift would manifest itself first at the biome's margins, with evergreen forest expanding into current tundra while being replaced by grasslands or temperate forest at the biome's southern edge. We evaluated changes in forest productivity since 1982 across boreal Alaska by linking satellite estimates of primary productivity and a large tree-ring data set. Trends in both records show consistent growth increases at the boreal-tundra ecotones that contrast with drought-induced productivity declines throughout interior Alaska. These patterns support the hypothesized effects of an initiating biome shift. Ultimately, tree dispersal rates, habitat availability and the rate of future climate change, and how it changes disturbance regimes, are expected to determine where the boreal biome will undergo a gradual geographic range shift, and where a more rapid decline. © 2011 Blackwell Publishing Ltd/CNRS.","author":[{"dropping-particle":"","family":"Beck","given":"Pieter S.A.","non-dropping-particle":"","parse-names":false,"suffix":""},{"dropping-particle":"","family":"Juday","given":"Glenn P.","non-dropping-particle":"","parse-names":false,"suffix":""},{"dropping-particle":"","family":"Alix","given":"Claire","non-dropping-particle":"","parse-names":false,"suffix":""},{"dropping-particle":"","family":"Barber","given":"Valerie A.","non-dropping-particle":"","parse-names":false,"suffix":""},{"dropping-particle":"","family":"Winslow","given":"Stephen E.","non-dropping-particle":"","parse-names":false,"suffix":""},{"dropping-particle":"","family":"Sousa","given":"Emily E.","non-dropping-particle":"","parse-names":false,"suffix":""},{"dropping-particle":"","family":"Heiser","given":"Patricia","non-dropping-particle":"","parse-names":false,"suffix":""},{"dropping-particle":"","family":"Herriges","given":"James D.","non-dropping-particle":"","parse-names":false,"suffix":""},{"dropping-particle":"","family":"Goetz","given":"Scott J.","non-dropping-particle":"","parse-names":false,"suffix":""}],"container-title":"Ecology Letters","id":"ITEM-1","issue":"4","issued":{"date-parts":[["2011"]]},"page":"373-379","title":"Changes in forest productivity across Alaska consistent with biome shift","type":"article-journal","volume":"14"},"uris":["http://www.mendeley.com/documents/?uuid=ca9c90e6-e7c9-4f8f-bd45-7ab5c1fae770"]}],"mendeley":{"formattedCitation":"(Beck et al., 2011)","manualFormatting":"(Beck et al. 2011)","plainTextFormattedCitation":"(Beck et al., 2011)","previouslyFormattedCitation":"(Beck et al., 2011)"},"properties":{"noteIndex":0},"schema":"https://github.com/citation-style-language/schema/raw/master/csl-citation.json"}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(Beck et al. 2011)</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w:t>
      </w:r>
    </w:p>
    <w:p w14:paraId="3B31D46B" w14:textId="666C1E3D" w:rsidR="001634E7" w:rsidRPr="001634E7" w:rsidRDefault="001634E7" w:rsidP="001634E7">
      <w:pPr>
        <w:spacing w:after="160" w:line="360" w:lineRule="auto"/>
        <w:rPr>
          <w:rFonts w:ascii="Times New Roman" w:eastAsia="Calibri" w:hAnsi="Times New Roman" w:cs="Times New Roman"/>
        </w:rPr>
      </w:pPr>
      <w:r w:rsidRPr="001634E7">
        <w:rPr>
          <w:rFonts w:ascii="Times New Roman" w:eastAsia="Calibri" w:hAnsi="Times New Roman" w:cs="Times New Roman"/>
        </w:rPr>
        <w:tab/>
        <w:t xml:space="preserve">A large body of research has been devoted to detecting shifts in tree ranges, possible proximal causes of such shifts, and their ecosystem level consequences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{"citationItems":[{"id":"ITEM-1","itemData":{"DOI":"10.1016/j.foreco.2008.12.013","ISSN":"03781127","abstract":"Changes in tree species distributions are a potential impact of climate change on forest ecosystems. The examination of tree species shifts in forests of the eastern United States largely has been limited to simulation activities due to a lack of consistent, long-term forest inventory datasets. The goal of this study was to compare current geographic distributions of tree seedlings (trees with a diameter at breast height ≤2.5 cm) with biomass (trees with a diameter at breast height &gt; 2.5 cm) for sets of northern, southern, and general tree species in the eastern United States using a spatially balanced, region-wide forest inventory. Compared to mean latitude of tree biomass, mean latitude of seedlings was significantly farther north (&gt;20 km) for the northern study species, while southern species had no shift, and general species demonstrated southern expansion. Density of seedlings relative to tree biomass of northern tree species was nearly 10 times higher in northern latitudes compared to southern latitudes. For forest inventory plots between 44° and 47° north latitude where southern tree species were identified, their biomass averaged 0.46 tonnes/ha while their seedling counts averaged 2600 ha-1. It is hypothesized that as northern and southern tree species together move northward due to greater regeneration success at higher latitudes, general species may fill their vacated niches in southern locations. The results of this study suggest that the process of northward tree migration in the eastern United States is currently underway with rates approaching 100 km/century for many species.","author":[{"dropping-particle":"","family":"Woodall","given":"C. W.","non-dropping-particle":"","parse-names":false,"suffix":""},{"dropping-particle":"","family":"Oswalt","given":"C. M.","non-dropping-particle":"","parse-names":false,"suffix":""},{"dropping-particle":"","family":"Westfall","given":"J. A.","non-dropping-particle":"","parse-names":false,"suffix":""},{"dropping-particle":"","family":"Perry","given":"C. H.","non-dropping-particle":"","parse-names":false,"suffix":""},{"dropping-particle":"","family":"Nelson","given":"M. D.","non-dropping-particle":"","parse-names":false,"suffix":""},{"dropping-particle":"","family":"Finley","given":"A. O.","non-dropping-particle":"","parse-names":false,"suffix":""}],"container-title":"Forest Ecology and Management","id":"ITEM-1","issue":"5","issued":{"date-parts":[["2009"]]},"page":"1434-1444","title":"An indicator of tree migration in forests of the eastern United States","type":"article-journal","volume":"257"},"uris":["http://www.mendeley.com/documents/?uuid=4236b575-43b3-4afe-bf30-51b84453474c"]},{"id":"ITEM-2","itemData":{"DOI":"10.1111/gcb.13584","ISSN":"13652486","PMID":"27935175","abstract":"Climate change is expected to lead to upslope shifts in tree species distributions, but the evidence is mixed partly due to land-use effects and individualistic species responses to climate. We examined how individual tree species demography varies along elevational climatic gradients across four states in the northeastern United States to determine whether species elevational distributions and their potential upslope (or downslope) shifts were controlled by climate, land-use legacies (past logging), or soils. We characterized tree demography, microclimate, land-use legacies, and soils at 83 sites stratified by elevation (~500 to ~1200 m above sea level) across 12 mountains containing the transition from northern hardwood to spruce-fir forests. We modeled elevational distributions of tree species saplings and adults using logistic regression to test whether sapling distributions suggest ongoing species range expansion upslope (or contraction downslope) relative to adults, and we used linear mixed models to determine the extent to which climate, land use, and soil variables explain these distributions. Tree demography varied with elevation by species, suggesting a potential upslope shift only for American beech, downslope shifts for red spruce (more so in cool regions) and sugar maple, and no change with elevation for balsam fir. While soils had relatively minor effects, climate was the dominant predictor for most species and more so for saplings than adults of red spruce, sugar maple, yellow birch, cordate birch, and striped maple. On the other hand, logging legacies were positively associated with American beech, sugar maple, and yellow birch, and negatively with red spruce and balsam fir – generally more so for adults than saplings. All species exhibited individualistic rather than synchronous demographic responses to climate and land use, and the return of red spruce to lower elevations where past logging originally benefited northern hardwood species indicates that land use may mask species range shifts caused by changing climate.","author":[{"dropping-particle":"","family":"Wason","given":"Jay W.","non-dropping-particle":"","parse-names":false,"suffix":""},{"dropping-particle":"","family":"Dovciak","given":"Martin","non-dropping-particle":"","parse-names":false,"suffix":""}],"container-title":"Global Change Biology","id":"ITEM-2","issue":"8","issued":{"date-parts":[["2017"]]},"page":"3335-3347","title":"Tree demography suggests multiple directions and drivers for species range shifts in mountains of Northeastern United States","type":"article-journal","volume":"23"},"uris":["http://www.mendeley.com/documents/?uuid=16b5809c-0136-4027-895f-63a4f4e23a31"]}],"mendeley":{"formattedCitation":"(Wason &amp; Dovciak, 2017; Woodall et al., 2009)","manualFormatting":"(Wason &amp; Dovciak 2017; Woodall et al. 2009)","plainTextFormattedCitation":"(Wason &amp; Dovciak, 2017; Woodall et al., 2009)","previouslyFormattedCitation":"(Wason &amp; Dovciak, 2017; Woodall et al., 2009)"},"properties":{"noteIndex":0},"schema":"https://github.com/citation-style-language/schema/raw/master/csl-citation.json"}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(Wason &amp; Dovciak 2017; Woodall et al. 2009)</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Spatial gradients that covary with climatic variables are useful as natural experimental settings and have been used as backdrops for exploring plant range shifts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{"citationItems":[{"id":"ITEM-1","itemData":{"DOI":"10.1111/j.1461-0248.2005.00796.x","ISSN":"1461023X","abstract":"Climate is a potent selective force in natural populations, yet the importance of adaptation in the response of plant species to past climate change has been questioned. As many species are unlikely to migrate fast enough to track the rapidly changing climate of the future, adaptation must play an increasingly important role in their response. In this paper we review recent work that has documented climate-related genetic diversity within populations or on the microgeographical scale. We then describe studies that have looked at the potential evolutionary responses of plant populations to future climate change. We argue that in fragmented landscapes, rapid climate change has the potential to overwhelm the capacity for adaptation in many plant populations and dramatically alter their genetic composition. The consequences are likely to include unpredictable changes in the presence and abundance of species within communities and a reduction in their ability to resist and recover from further environmental perturbations, such as pest and disease outbreaks and extreme climatic events. Overall, a range-wide increase in extinction risk is likely to result. We call for further research into understanding the causes and consequences of the maintenance and loss of climate-related genetic diversity within populations. ©2005 Blackwell Publishing Ltd/CNRS.","author":[{"dropping-particle":"","family":"Jump","given":"Alistair S.","non-dropping-particle":"","parse-names":false,"suffix":""},{"dropping-particle":"","family":"Peñuelas","given":"Josep","non-dropping-particle":"","parse-names":false,"suffix":""}],"container-title":"Ecology Letters","id":"ITEM-1","issue":"9","issued":{"date-parts":[["2005"]]},"page":"1010-1020","title":"Running to stand still: Adaptation and the response of plants to rapid climate change","type":"article-journal","volume":"8"},"uris":["http://www.mendeley.com/documents/?uuid=7767144e-1a0e-4088-b6e1-1a6c0a7e7087"]},{"id":"ITEM-2","itemData":{"DOI":"10.1098/rspb.2014.1779","ISSN":"14712954","PMID":"25253462","abstract":"We are limited in our ability to predict climate-change-induced range shifts by our inadequate understanding of hownon-climatic factors contribute to determining range limits along putatively climatic gradients. Here, we present a unique combination of observations and experiments demonstrating that seed predation and soil properties strongly limit regeneration beyond the upper elevational range limit of sugar maple, a tree species of major economic importance. Most strikingly, regeneration beyond the range limit occurred almost exclusively when seeds were experimentally protected from predators. Regeneration from seed was depressed on soil from beyond the range edge when this soil was transplanted to sites within the range, with indirect evidence suggesting that fungal pathogens play a role. Non-climatic factors are clearly in need of careful attention when attempting to predict the biotic consequences of climate change. At minimum, we can expect non-climatic factors to create substantial time lags between the creation of more favourable climatic conditions and range expansion.","author":[{"dropping-particle":"","family":"Brown","given":"Carissa D.","non-dropping-particle":"","parse-names":false,"suffix":""},{"dropping-particle":"","family":"Vellend","given":"Mark","non-dropping-particle":"","parse-names":false,"suffix":""}],"container-title":"Proceedings of the Royal Society B: Biological Sciences","id":"ITEM-2","issue":"1794","issued":{"date-parts":[["2014"]]},"title":"Non-climatic constraints on upper elevational plant range expansion under climate change","type":"article-journal","volume":"281"},"uris":["http://www.mendeley.com/documents/?uuid=3095b6b3-bdfc-454a-9381-f492cea77ec5"]}],"mendeley":{"formattedCitation":"(Brown &amp; Vellend, 2014; Jump &amp; Peñuelas, 2005)","manualFormatting":"(Brown &amp; Vellend, 2014; Jump et al. 2009)","plainTextFormattedCitation":"(Brown &amp; Vellend, 2014; Jump &amp; Peñuelas, 2005)","previouslyFormattedCitation":"(Brown &amp; Vellend, 2014; Jump &amp; Peñuelas, 2005)"},"properties":{"noteIndex":0},"schema":"https://github.com/citation-style-language/schema/raw/master/csl-citation.json"}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 xml:space="preserve">(Brown &amp; Vellend, 2014; Jump </w:t>
      </w:r>
      <w:r w:rsidR="000F572B">
        <w:rPr>
          <w:rFonts w:ascii="Times New Roman" w:eastAsia="Calibri" w:hAnsi="Times New Roman" w:cs="Times New Roman"/>
          <w:noProof/>
        </w:rPr>
        <w:t>et al.</w:t>
      </w:r>
      <w:r w:rsidR="000F572B" w:rsidRPr="000F572B">
        <w:rPr>
          <w:rFonts w:ascii="Times New Roman" w:eastAsia="Calibri" w:hAnsi="Times New Roman" w:cs="Times New Roman"/>
          <w:noProof/>
        </w:rPr>
        <w:t xml:space="preserve"> 200</w:t>
      </w:r>
      <w:r w:rsidR="000F572B">
        <w:rPr>
          <w:rFonts w:ascii="Times New Roman" w:eastAsia="Calibri" w:hAnsi="Times New Roman" w:cs="Times New Roman"/>
          <w:noProof/>
        </w:rPr>
        <w:t>9</w:t>
      </w:r>
      <w:r w:rsidR="000F572B" w:rsidRPr="000F572B">
        <w:rPr>
          <w:rFonts w:ascii="Times New Roman" w:eastAsia="Calibri" w:hAnsi="Times New Roman" w:cs="Times New Roman"/>
          <w:noProof/>
        </w:rPr>
        <w:t>)</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Gradients of elevation along mountain slopes are seen as sensitive indicators of forest community change driven by highly correlated gradients of temperature, precipitation, and edaphic variables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{"citationItems":[{"id":"ITEM-1","itemData":{"DOI":"10.1073/pnas.0708921105","ISSN":"00278424","PMID":"18334647","abstract":"Detecting latitudinal range shifts of forest trees in response to recent climate change is difficult because of slow demographic rates and limited dispersal but may be facilitated by spatially compressed climatic zones along elevation gradients in montane environments. We resurveyed forest plots established in 1964 along elevation transects in the Green Mountains (Vermont) to examine whether a shift had occurred in the location of the northern hardwood-boreal forest ecotone (NBE) from 1964 to 2004. We found a 19% increase in dominance of northern hardwoods from 70% in 1964 to 89% in 2004 in the lower half of the NBE. This shift was driven by a decrease (up to 76%) in boreal and increase (up to 16%) in northern hardwood basal area within the lower portions of the ecotone. We used aerial photographs and satellite imagery to estimate a 91- to 119-m upslope shift in the upper limits of the NBE from 1962 to 2005. The upward shift is consistent with regional climatic change during the same period; interpolating climate data to the NBE showed a 1.1°C increase in annual temperature, which would predict a 208-m upslope movement of the ecotone, along with a 34% increase in precipitation. The rapid upward movement of the NBE indicates little inertia to climatically induced range shifts in montane forests; the upslope shift may have been accelerated by high turnover in canopy trees that provided opportunities for ingrowth of lower elevation species. Our results indicate that high-elevation forests may be jeopardized by climate change sooner than anticipated. © 2008 by The National Academy of Sciences of the USA.","author":[{"dropping-particle":"","family":"Beckage","given":"Brian","non-dropping-particle":"","parse-names":false,"suffix":""},{"dropping-particle":"","family":"Osborne","given":"Ben","non-dropping-particle":"","parse-names":false,"suffix":""},{"dropping-particle":"","family":"Gavin","given":"Daniel G.","non-dropping-particle":"","parse-names":false,"suffix":""},{"dropping-particle":"","family":"Pucko","given":"Carolyn","non-dropping-particle":"","parse-names":false,"suffix":""},{"dropping-particle":"","family":"Siccama","given":"Thomas","non-dropping-particle":"","parse-names":false,"suffix":""},{"dropping-particle":"","family":"Perkins","given":"Timothy","non-dropping-particle":"","parse-names":false,"suffix":""}],"container-title":"Proceedings of the National Academy of Sciences of the United States of America","id":"ITEM-1","issue":"11","issued":{"date-parts":[["2008"]]},"page":"4197-4202","title":"A rapid upward shift of a forest ecotone during 40 years of warming in the Green Mountains of Vermont","type":"article-journal","volume":"105"},"uris":["http://www.mendeley.com/documents/?uuid=6d52c505-0173-46a5-9510-bf5e0ff9d11f"]},{"id":"ITEM-2","itemData":{"DOI":"10.1111/j.1461-0248.2009.01355.x","ISSN":"1461023X","PMID":"19682007","abstract":"Treelines are temperature sensitive transition zones that are expected to respond to climate warming by advancing beyond their current position. Response to climate warming over the last century, however, has been mixed, with some treelines showing evidence of recruitment at higher altitudes and/or latitudes (advance) whereas others reveal no marked change in the upper limit of tree establishment. To explore this variation, we analysed a global dataset of 166 sites for which treeline dynamics had been recorded since 1900 AD. Advance was recorded at 52% of sites with only 1% reporting treeline recession. Treelines that experienced strong winter warming were more likely to have advanced, and treelines with a diffuse form were more likely to have advanced than those with an abrupt or krummholz form. Diffuse treelines may be more responsive to warming because they are more strongly growth limited, whereas other treeline forms may be subject to additional constraints. © 2009 Blackwell Publishing Ltd/CNRS.","author":[{"dropping-particle":"","family":"Harsch","given":"Melanie A.","non-dropping-particle":"","parse-names":false,"suffix":""},{"dropping-particle":"","family":"Hulme","given":"Philip E.","non-dropping-particle":"","parse-names":false,"suffix":""},{"dropping-particle":"","family":"McGlone","given":"Matt S.","non-dropping-particle":"","parse-names":false,"suffix":""},{"dropping-particle":"","family":"Duncan","given":"Richard P.","non-dropping-particle":"","parse-names":false,"suffix":""}],"container-title":"Ecology Letters","id":"ITEM-2","issue":"10","issued":{"date-parts":[["2009"]]},"page":"1040-1049","title":"Are treelines advancing? A global meta-analysis of treeline response to climate warming","type":"article-journal","volume":"12"},"uris":["http://www.mendeley.com/documents/?uuid=5c8fb377-a426-42a8-ae3c-fe03d35a4b45"]}],"mendeley":{"formattedCitation":"(Beckage et al., 2008; Harsch et al., 2009)","manualFormatting":"(Beckage et al. 2008; Harsch et al. 2009)","plainTextFormattedCitation":"(Beckage et al., 2008; Harsch et al., 2009)","previouslyFormattedCitation":"(Beckage et al., 2008; Harsch et al., 2009)"},"properties":{"noteIndex":0},"schema":"https://github.com/citation-style-language/schema/raw/master/csl-citation.json"}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(Beckage et al. 2008; Harsch et al. 2009)</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w:t>
      </w:r>
    </w:p>
    <w:p w14:paraId="4E8AD208" w14:textId="42B27233" w:rsidR="001634E7" w:rsidRPr="001634E7" w:rsidRDefault="001634E7" w:rsidP="001634E7">
      <w:pPr>
        <w:spacing w:after="160" w:line="360" w:lineRule="auto"/>
        <w:ind w:firstLine="720"/>
        <w:rPr>
          <w:rFonts w:ascii="Times New Roman" w:eastAsia="Calibri" w:hAnsi="Times New Roman" w:cs="Times New Roman"/>
        </w:rPr>
      </w:pPr>
      <w:r w:rsidRPr="001634E7">
        <w:rPr>
          <w:rFonts w:ascii="Times New Roman" w:eastAsia="Calibri" w:hAnsi="Times New Roman" w:cs="Times New Roman"/>
        </w:rPr>
        <w:t xml:space="preserve">The mountains of the northeastern US are expected to experience increased temperatures and fluctuating precipitation regimes over the next several decades as climate change accelerates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{"citationItems":[{"id":"ITEM-1","itemData":{"abstract":"Forest ecosystems will face direct and indirect impacts from a changing climate over the 21st century. This assessment evaluates the vulnerability of forest ecosystems across the New England region (Connecticut, Maine, Massachusetts, New Hampshire, northern New York, Rhode Island, and Vermont) under a range of future climates. We synthesized and summarized information on the contemporary landscape, provided information on past climate trends, and described a range of projected future climates. This information was used to parameterize and run multiple vegetation impact models, which provided a range of potential vegetative responses to climate. Finally, we brought these results before a multidisciplinary panel of scientists and natural resource professionals familiar with the forests of this region to assess ecosystem vulnerability through a formal consensus-based expert elicitation process. Observed trends in climate over the historical record from 1901 through 2011 show that the mean annual temperature has increased across the region by 2.4 °F, with even greater warming during winter. Precipitation patterns also changed during this time, with a slight trend toward greater annual precipitation and a substantial increase in extreme precipitation events. Projected climate trends using downscaled global climate model data indicate a potential increase in mean annual temperature of 3 to 8 °F for the assessment area by 2100. Projections for precipitation indicate an increase in fall and winter precipitation, and spring and summer precipitation projections vary by scenario. We identified potential impacts on forests by incorporating these future climate projections into three forest impact models (DISTRIB, LINKAGES, and LANDIS PRO). Model projections suggest that many northern and boreal species, including balsam fir, red spruce, and black spruce, may fare worse under future conditions, but other species may benefit from projected changes in climate. Published literature on climate impacts related to wildfire, invasive species, and forest pests and diseases also contributed to the overall determination of climate change vulnerability. We assessed vulnerability for eight forest communities in the assessment area. The assessment was conducted through a formal elicitation process with 20 scientists and resource managers from across the area, who considered vulnerability in terms of the potential impacts and the adaptive capacity for an individual community. Mon…","author":[{"dropping-particle":"","family":"Janowiak","given":"Maria K.","non-dropping-particle":"","parse-names":false,"suffix":""},{"dropping-particle":"","family":"D'Amato","given":"Anthony W.","non-dropping-particle":"","parse-names":false,"suffix":""},{"dropping-particle":"","family":"Swanston","given":"Christopher W.","non-dropping-particle":"","parse-names":false,"suffix":""},{"dropping-particle":"","family":"Iverson","given":"Louis","non-dropping-particle":"","parse-names":false,"suffix":""},{"dropping-particle":"","family":"Thompson","given":"Frank R.","non-dropping-particle":"","parse-names":false,"suffix":""},{"dropping-particle":"","family":"Dijak","given":"William D.","non-dropping-particle":"","parse-names":false,"suffix":""},{"dropping-particle":"","family":"Matthews","given":"Stephen","non-dropping-particle":"","parse-names":false,"suffix":""},{"dropping-particle":"","family":"Peters","given":"Matthew P.","non-dropping-particle":"","parse-names":false,"suffix":""},{"dropping-particle":"","family":"Prasad","given":"Anantha","non-dropping-particle":"","parse-names":false,"suffix":""},{"dropping-particle":"","family":"Fraser","given":"Jacob S.","non-dropping-particle":"","parse-names":false,"suffix":""},{"dropping-particle":"","family":"Brandt","given":"Leslie A.","non-dropping-particle":"","parse-names":false,"suffix":""},{"dropping-particle":"","family":"Butler-Leopold","given":"Patricia","non-dropping-particle":"","parse-names":false,"suffix":""},{"dropping-particle":"","family":"Handler","given":"Stephen D.","non-dropping-particle":"","parse-names":false,"suffix":""},{"dropping-particle":"","family":"Shannon","given":"P. Danielle","non-dropping-particle":"","parse-names":false,"suffix":""},{"dropping-particle":"","family":"Burbank","given":"Diane","non-dropping-particle":"","parse-names":false,"suffix":""},{"dropping-particle":"","family":"Campbell","given":"John","non-dropping-particle":"","parse-names":false,"suffix":""},{"dropping-particle":"","family":"Cogbill","given":"Charles","non-dropping-particle":"","parse-names":false,"suffix":""},{"dropping-particle":"","family":"Duveneck","given":"Matthew J.","non-dropping-particle":"","parse-names":false,"suffix":""},{"dropping-particle":"","family":"Emery","given":"Marla R.","non-dropping-particle":"","parse-names":false,"suffix":""},{"dropping-particle":"","family":"Fisichelli","given":"Nicholas","non-dropping-particle":"","parse-names":false,"suffix":""},{"dropping-particle":"","family":"Foster","given":"Jane","non-dropping-particle":"","parse-names":false,"suffix":""},{"dropping-particle":"","family":"Hushaw","given":"Jennifer","non-dropping-particle":"","parse-names":false,"suffix":""},{"dropping-particle":"","family":"Kenefic","given":"Laura","non-dropping-particle":"","parse-names":false,"suffix":""},{"dropping-particle":"","family":"Mahaffey","given":"Amanda","non-dropping-particle":"","parse-names":false,"suffix":""},{"dropping-particle":"","family":"Morelli","given":"Toni Lyn","non-dropping-particle":"","parse-names":false,"suffix":""},{"dropping-particle":"","family":"Reo","given":"Nicholas J.","non-dropping-particle":"","parse-names":false,"suffix":""},{"dropping-particle":"","family":"Schaberg","given":"Paul G.","non-dropping-particle":"","parse-names":false,"suffix":""},{"dropping-particle":"","family":"Simmons","given":"K. Rogers","non-dropping-particle":"","parse-names":false,"suffix":""},{"dropping-particle":"","family":"Weiskittel","given":"Aaron","non-dropping-particle":"","parse-names":false,"suffix":""},{"dropping-particle":"","family":"Wilmot","given":"Sandy","non-dropping-particle":"","parse-names":false,"suffix":""},{"dropping-particle":"","family":"Hollinger","given":"David","non-dropping-particle":"","parse-names":false,"suffix":""},{"dropping-particle":"","family":"Lane","given":"Erin","non-dropping-particle":"","parse-names":false,"suffix":""},{"dropping-particle":"","family":"Rustad","given":"Lindsey","non-dropping-particle":"","parse-names":false,"suffix":""},{"dropping-particle":"","family":"Templer","given":"Pamela H.","non-dropping-particle":"","parse-names":false,"suffix":""}],"id":"ITEM-1","issue":"January","issued":{"date-parts":[["2018"]]},"page":"234","title":"New England and Northern New York Forest Ecosystem Vulnerability Assessment and Synthesis : A Report from the New England Climate Change Response Framework Project","type":"article-journal"},"uris":["http://www.mendeley.com/documents/?uuid=36b81249-0758-4dce-b980-4f838989ae06"]}],"mendeley":{"formattedCitation":"(Janowiak et al., 2018)","manualFormatting":"(Janowiak et al. 2018)","plainTextFormattedCitation":"(Janowiak et al., 2018)","previouslyFormattedCitation":"(Janowiak et al., 2018)"},"properties":{"noteIndex":0},"schema":"https://github.com/citation-style-language/schema/raw/master/csl-citation.json"}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(Janowiak et al. 2018)</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While prevailing theory suggests that trees of lower elevations will need to expand upslope to keep pace with regional warming trends (Janowiak et al. 2018) there is mixed evidence of this from field observations (Iverson et al. 2008; Wason </w:t>
      </w:r>
      <w:r w:rsidR="000F572B">
        <w:rPr>
          <w:rFonts w:ascii="Times New Roman" w:eastAsia="Calibri" w:hAnsi="Times New Roman" w:cs="Times New Roman"/>
        </w:rPr>
        <w:t>&amp;</w:t>
      </w:r>
      <w:r w:rsidRPr="001634E7">
        <w:rPr>
          <w:rFonts w:ascii="Times New Roman" w:eastAsia="Calibri" w:hAnsi="Times New Roman" w:cs="Times New Roman"/>
        </w:rPr>
        <w:t xml:space="preserve"> Dovciak 2017). Some studies do find a dramatic upslope shift in tree species distribution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{"citationItems":[{"id":"ITEM-1","itemData":{"DOI":"10.1073/pnas.0708921105","ISSN":"00278424","PMID":"18334647","abstract":"Detecting latitudinal range shifts of forest trees in response to recent climate change is difficult because of slow demographic rates and limited dispersal but may be facilitated by spatially compressed climatic zones along elevation gradients in montane environments. We resurveyed forest plots established in 1964 along elevation transects in the Green Mountains (Vermont) to examine whether a shift had occurred in the location of the northern hardwood-boreal forest ecotone (NBE) from 1964 to 2004. We found a 19% increase in dominance of northern hardwoods from 70% in 1964 to 89% in 2004 in the lower half of the NBE. This shift was driven by a decrease (up to 76%) in boreal and increase (up to 16%) in northern hardwood basal area within the lower portions of the ecotone. We used aerial photographs and satellite imagery to estimate a 91- to 119-m upslope shift in the upper limits of the NBE from 1962 to 2005. The upward shift is consistent with regional climatic change during the same period; interpolating climate data to the NBE showed a 1.1°C increase in annual temperature, which would predict a 208-m upslope movement of the ecotone, along with a 34% increase in precipitation. The rapid upward movement of the NBE indicates little inertia to climatically induced range shifts in montane forests; the upslope shift may have been accelerated by high turnover in canopy trees that provided opportunities for ingrowth of lower elevation species. Our results indicate that high-elevation forests may be jeopardized by climate change sooner than anticipated. © 2008 by The National Academy of Sciences of the USA.","author":[{"dropping-particle":"","family":"Beckage","given":"Brian","non-dropping-particle":"","parse-names":false,"suffix":""},{"dropping-particle":"","family":"Osborne","given":"Ben","non-dropping-particle":"","parse-names":false,"suffix":""},{"dropping-particle":"","family":"Gavin","given":"Daniel G.","non-dropping-particle":"","parse-names":false,"suffix":""},{"dropping-particle":"","family":"Pucko","given":"Carolyn","non-dropping-particle":"","parse-names":false,"suffix":""},{"dropping-particle":"","family":"Siccama","given":"Thomas","non-dropping-particle":"","parse-names":false,"suffix":""},{"dropping-particle":"","family":"Perkins","given":"Timothy","non-dropping-particle":"","parse-names":false,"suffix":""}],"container-title":"Proceedings of the National Academy of Sciences of the United States of America","id":"ITEM-1","issue":"11","issued":{"date-parts":[["2008"]]},"page":"4197-4202","title":"A rapid upward shift of a forest ecotone during 40 years of warming in the Green Mountains of Vermont","type":"article-journal","volume":"105"},"uris":["http://www.mendeley.com/documents/?uuid=6d52c505-0173-46a5-9510-bf5e0ff9d11f"]},{"id":"ITEM-2","itemData":{"DOI":"10.1890/ES14-00111.1","ISSN":"21508925","abstract":"Warming has been particularly strong at high latitudes in recent decades and bioclimatic models predict northern shifts in optimal conditions for most species. Climate is a strong predictor of site occupancy for trees at broad spatial scales and interacts with other drivers of forest dynamics. Recent changes in distribution and occupancy patterns should therefore provide the best evidence of a tree species' potential to shift in the direction predicted by bioclimatic models. Studies examining recent distribution changes for plants, however, have mostly done so along altitudinal gradients or have used the latitudinal position of juvenile trees relative to adult ones to infer range dynamics. This study provides rare evidence of latitudinal shifts for 11 northern tree species by assessing recent changes in distribution using globally significant inventories from 1970 to 2002. It also compares observed trends with those inferred from the position of juveniles relative to trees in a single survey. Samplings cover 6456 forest plots in temperate and boreal forests up to treeline in eastern North America. The average overall latitudinal shift was 3.07 ± 4.37 km northward although responses were species-specific. Shifts were detected more for juvenile than for adult trees and significant northward ones were detected more at northern range limits than at the median. All species demonstrated increased frequency of plot occupancy for saplings while occupancy generally decreased for adult trees. Five out of the 11 species examined (Acer rubrum, Acer saccharum, Betula papyrifera, Fagus grandifolia, and Populus tremuloides) showed significant distributional shifts consistent with northward migration. Saplings of Abies balsamea, Picea glauca, and Picea mariana, on the other hand, showed southward shifting trends. Natural and human disturbances undoubtedly interact with climate to determine forest dynamics; this study shows whether their combined effect can shift distribution in the direction predicted by bioclimatic models. Only continued monitoring will reveal whether these observations are just transient dynamics or indicative of shifting range in this century. Our study provides a benchmark against which to assess future observations of latitudinal shifts for trees. © 2014 Boisvert-Marsh et al.","author":[{"dropping-particle":"","family":"Boisvert-Marsh","given":"Laura","non-dropping-particle":"","parse-names":false,"suffix":""},{"dropping-particle":"","family":"Périé","given":"Catherine","non-dropping-particle":"","parse-names":false,"suffix":""},{"dropping-particle":"","family":"Blois","given":"Sylvie","non-dropping-particle":"De","parse-names":false,"suffix":""}],"container-title":"Ecosphere","id":"ITEM-2","issue":"7","issued":{"date-parts":[["2014"]]},"page":"1-33","title":"Shifting with climate? Evidence for recent changes in tree species distribution at high latitudes","type":"article-journal","volume":"5"},"uris":["http://www.mendeley.com/documents/?uuid=6d0053fa-d461-46c9-954b-ca4bb038c49b"]}],"mendeley":{"formattedCitation":"(Beckage et al., 2008; Boisvert-Marsh et al., 2014)","manualFormatting":"(Beckage et al. 2008; Boisvert-Marsh et al. 2014)","plainTextFormattedCitation":"(Beckage et al., 2008; Boisvert-Marsh et al., 2014)","previouslyFormattedCitation":"(Beckage et al., 2008; Boisvert-Marsh et al., 2014)"},"properties":{"noteIndex":0},"schema":"https://github.com/citation-style-language/schema/raw/master/csl-citation.json"}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(Beckage et al. 2008; Boisvert-Marsh et al. 2014)</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while others find no supporting evidence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{"citationItems":[{"id":"ITEM-1","itemData":{"DOI":"10.1111/gcb.13046","ISSN":"13652486","PMID":"26238565","abstract":"Ecotones are transition zones that form, in forests, where distinct forest types meet across a climatic gradient. In mountains, ecotones are compressed and act as potential harbingers of species shifts that accompany climate change. As the climate warms in New England, USA, high-elevation boreal forests are expected to recede upslope, with northern hardwood species moving up behind. Yet recent empirical studies present conflicting findings on this dynamic, reporting both rapid upward ecotonal shifts and concurrent increases in boreal species within the region. These discrepancies may result from the limited spatial extent of observations. We developed a method to model and map the montane forest ecotone using Landsat imagery to observe change at scales not possible for plot-based studies, covering mountain peaks over 39 000 km2. Our results show that ecotones shifted downward or stayed stable on most mountains between 1991 and 2010, but also shifted upward in some cases (13-15% slopes). On average, upper ecotone boundaries moved down -1.5 m yr-1 in the Green Mountains, VT, and -1.3 m yr-1 in the White Mountains, NH. These changes agree with remeasured forest inventory data from Hubbard Brook Experimental Forest, NH, and suggest that processes of boreal forest recovery from prior red spruce decline, or human land use and disturbance, may swamp out any signal of climate-mediated migration in this ecosystem. This approach represents a powerful framework for evaluating similar ecotonal dynamics in other mountainous regions of the globe.","author":[{"dropping-particle":"","family":"Foster","given":"Jane R.","non-dropping-particle":"","parse-names":false,"suffix":""},{"dropping-particle":"","family":"D'Amato","given":"Anthony W.","non-dropping-particle":"","parse-names":false,"suffix":""}],"container-title":"Global Change Biology","id":"ITEM-1","issue":"12","issued":{"date-parts":[["2015"]]},"page":"4497-4507","title":"Montane forest ecotones moved downslope in northeastern USA in spite of warming between 1984 and 2011","type":"article-journal","volume":"21"},"uris":["http://www.mendeley.com/documents/?uuid=03dadc5c-7b22-4d05-b449-fdac15be839b"]},{"id":"ITEM-2","itemData":{"DOI":"10.1126/sciadv.1603055","ISSN":"23752548","PMID":"28560343","abstract":"Climate change can have profound impacts on biodiversity and the sustainability of many ecosystems. Various studies have investigated the impacts of climate change, but large-scale, trait-specific impactsare less understood.Weanalyze abundance data over time for 86 tree species/groups across the eastern United States spanning the last three decades. We show that more tree species have experienced a westward shift (73%) than a poleward shift (62%) in their abundance, a trend that is stronger for saplings than adult trees. The observed shifts are primarily due to the changes of subpopulation abundances in the leading edges and are significantly associated with changes in moisture availability and successional processes. These spatial shifts are associated with species that have similar traits (drought tolerance, wood density, and seed weight) and evolutionary histories (most angiosperms shifted westward and most gymnosperms shifted poleward).Our results indicate that changes inmoisture availability have stronger near-term impacts on vegetation dynamics than changes in temperature. The divergent responses to climate change by trait-and phylogeneticspecific groups could lead to changes in composition of forest ecosystems, putting the resilience and sustainability of various forest ecosystems in question. 2017","author":[{"dropping-particle":"","family":"Fei","given":"Songlin","non-dropping-particle":"","parse-names":false,"suffix":""},{"dropping-particle":"","family":"Desprez","given":"Johanna M.","non-dropping-particle":"","parse-names":false,"suffix":""},{"dropping-particle":"","family":"Potter","given":"Kevin M.","non-dropping-particle":"","parse-names":false,"suffix":""},{"dropping-particle":"","family":"Jo","given":"Insu","non-dropping-particle":"","parse-names":false,"suffix":""},{"dropping-particle":"","family":"Knott","given":"Jonathan A.","non-dropping-particle":"","parse-names":false,"suffix":""},{"dropping-particle":"","family":"Oswalt","given":"Christopher M.","non-dropping-particle":"","parse-names":false,"suffix":""}],"container-title":"Science Advances","id":"ITEM-2","issue":"5","issued":{"date-parts":[["2017"]]},"title":"Divergence of species responses to climate change","type":"article-journal","volume":"3"},"uris":["http://www.mendeley.com/documents/?uuid=e638a69d-3e43-4719-a349-d53b9145c728"]}],"mendeley":{"formattedCitation":"(Fei et al., 2017; Foster &amp; D’Amato, 2015)","manualFormatting":"(Fei et al. 2017; Foster &amp; D’Amato 2015)","plainTextFormattedCitation":"(Fei et al., 2017; Foster &amp; D’Amato, 2015)","previouslyFormattedCitation":"(Fei et al., 2017; Foster &amp; D’Amato, 2015)"},"properties":{"noteIndex":0},"schema":"https://github.com/citation-style-language/schema/raw/master/csl-citation.json"}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(Fei et al. 2017; Foster &amp; D’Amato 2015)</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Other studies note a slow expansion that does not keep pace with climate </w:t>
      </w:r>
      <w:r w:rsidRPr="001634E7">
        <w:rPr>
          <w:rFonts w:ascii="Times New Roman" w:eastAsia="Calibri" w:hAnsi="Times New Roman" w:cs="Times New Roman"/>
        </w:rPr>
        <w:lastRenderedPageBreak/>
        <w:t xml:space="preserve">warming, suggesting some other inhibitory mechanism </w:t>
      </w:r>
      <w:r w:rsidR="000F572B">
        <w:rPr>
          <w:rFonts w:ascii="Times New Roman" w:eastAsia="Calibri" w:hAnsi="Times New Roman" w:cs="Times New Roman"/>
        </w:rPr>
        <w:fldChar w:fldCharType="begin" w:fldLock="1"/>
      </w:r>
      <w:r w:rsidR="000F572B">
        <w:rPr>
          <w:rFonts w:ascii="Times New Roman" w:eastAsia="Calibri" w:hAnsi="Times New Roman" w:cs="Times New Roman"/>
        </w:rPr>
        <w:instrText>ADDIN CSL_CITATION {"citationItems":[{"id":"ITEM-1","itemData":{"DOI":"10.1111/gcb.13622","ISSN":"13652486","PMID":"28165187","abstract":"Rising global temperatures are suggested to be drivers of shifts in tree species ranges. The resulting changes in community composition may negatively impact forest ecosystem function. However, long-term shifts in tree species ranges remain poorly documented. We test for shifts in the northern range limits of 16 temperate tree species in Quebec, Canada, using forest inventory data spanning three decades, 15° of longitude and 7° of latitude. Range shifts were correlated with climate warming and dispersal traits to understand potential mechanisms underlying changes. Shifts were calculated as the change in the 95th percentile of latitudinal occurrence between two inventory periods (1970–1978, 2000–2012) and for two life stages: saplings and adults. We also examined sapling and adult range offsets within each inventory, and changes in the offset through time. Tree species ranges shifted predominantly northward, although species responses varied. As expected shifts were greater for tree saplings, 0.34 km yr−1, than for adults, 0.13 km yr−1. Range limits were generally further north for adults compared to saplings, but the difference diminished through time, consistent with patterns observed for range shifts within each life stage. This suggests caution should be exercised when interpreting geographic range offsets between life stages as evidence of range shifts in the absence of temporal data. Species latitudinal velocities were on average &lt;50% of the velocity required to equal the spatial velocity of climate change and were mostly unrelated to dispersal traits. Finally, our results add to the body of evidence suggesting tree species are mostly limited in their capacity to track climate warming, supporting concerns that warming will negatively impact the functioning of forest ecosystems.","author":[{"dropping-particle":"","family":"Sittaro","given":"Fabian","non-dropping-particle":"","parse-names":false,"suffix":""},{"dropping-particle":"","family":"Paquette","given":"Alain","non-dropping-particle":"","parse-names":false,"suffix":""},{"dropping-particle":"","family":"Messier","given":"Christian","non-dropping-particle":"","parse-names":false,"suffix":""},{"dropping-particle":"","family":"Nock","given":"Charles A.","non-dropping-particle":"","parse-names":false,"suffix":""}],"container-title":"Global Change Biology","id":"ITEM-1","issue":"8","issued":{"date-parts":[["2017"]]},"page":"3292-3301","title":"Tree range expansion in eastern North America fails to keep pace with climate warming at northern range limits","type":"article-journal","volume":"23"},"uris":["http://www.mendeley.com/documents/?uuid=a3f371fc-9a3c-4dda-9c1a-1179b3a4994c"]},{"id":"ITEM-2","itemData":{"DOI":"10.1111/gcb.13976","ISSN":"13652486","PMID":"29112781","abstract":"Rapid climatic changes and increasing human influence at high elevations around the world will have profound impacts on mountain biodiversity. However, forecasts from statistical models (e.g. species distribution models) rarely consider that plant community changes could substantially lag behind climatic changes, hindering our ability to make temporally realistic projections for the coming century. Indeed, the magnitudes of lags, and the relative importance of the different factors giving rise to them, remain poorly understood. We review evidence for three types of lag: “dispersal lags” affecting plant species’ spread along elevational gradients, “establishment lags” following their arrival in recipient communities, and “extinction lags” of resident species. Variation in lags is explained by variation among species in physiological and demographic responses, by effects of altered biotic interactions, and by aspects of the physical environment. Of these, altered biotic interactions could contribute substantially to establishment and extinction lags, yet impacts of biotic interactions on range dynamics are poorly understood. We develop a mechanistic community model to illustrate how species turnover in future communities might lag behind simple expectations based on species’ range shifts with unlimited dispersal. The model shows a combined contribution of altered biotic interactions and dispersal lags to plant community turnover along an elevational gradient following climate warming. Our review and simulation support the view that accounting for disequilibrium range dynamics will be essential for realistic forecasts of patterns of biodiversity under climate change, with implications for the conservation of mountain species and the ecosystem functions they provide.","author":[{"dropping-particle":"","family":"Alexander","given":"Jake M.","non-dropping-particle":"","parse-names":false,"suffix":""},{"dropping-particle":"","family":"Chalmandrier","given":"Loïc","non-dropping-particle":"","parse-names":false,"suffix":""},{"dropping-particle":"","family":"Lenoir","given":"Jonathan","non-dropping-particle":"","parse-names":false,"suffix":""},{"dropping-particle":"","family":"Burgess","given":"Treena I.","non-dropping-particle":"","parse-names":false,"suffix":""},{"dropping-particle":"","family":"Essl","given":"Franz","non-dropping-particle":"","parse-names":false,"suffix":""},{"dropping-particle":"","family":"Haider","given":"Sylvia","non-dropping-particle":"","parse-names":false,"suffix":""},{"dropping-particle":"","family":"Kueffer","given":"Christoph","non-dropping-particle":"","parse-names":false,"suffix":""},{"dropping-particle":"","family":"McDougall","given":"Keith","non-dropping-particle":"","parse-names":false,"suffix":""},{"dropping-particle":"","family":"Milbau","given":"Ann","non-dropping-particle":"","parse-names":false,"suffix":""},{"dropping-particle":"","family":"Nuñez","given":"Martin A.","non-dropping-particle":"","parse-names":false,"suffix":""},{"dropping-particle":"","family":"Pauchard","given":"Aníbal","non-dropping-particle":"","parse-names":false,"suffix":""},{"dropping-particle":"","family":"Rabitsch","given":"Wolfgang","non-dropping-particle":"","parse-names":false,"suffix":""},{"dropping-particle":"","family":"Rew","given":"Lisa J.","non-dropping-particle":"","parse-names":false,"suffix":""},{"dropping-particle":"","family":"Sanders","given":"Nathan J.","non-dropping-particle":"","parse-names":false,"suffix":""},{"dropping-particle":"","family":"Pellissier","given":"Loïc","non-dropping-particle":"","parse-names":false,"suffix":""}],"container-title":"Global Change Biology","id":"ITEM-2","issue":"2","issued":{"date-parts":[["2018"]]},"page":"563-579","title":"Lags in the response of mountain plant communities to climate change","type":"article-journal","volume":"24"},"uris":["http://www.mendeley.com/documents/?uuid=1f9d2ae0-3d82-4684-9fd3-82e2bfdc7644"]},{"id":"ITEM-3","itemData":{"DOI":"10.1111/gcb.13847","ISSN":"13652486","PMID":"29034990","abstract":"Climate change is expected to cause geographic shifts in tree species' ranges, but such shifts may not keep pace with climate changes because seed dispersal distances are often limited and competition-induced changes in community composition can be relatively slow. Disturbances may speed changes in community composition, but the interactions among climate change, disturbance and competitive interactions to produce range shifts are poorly understood. We used a physiologically based mechanistic landscape model to study these interactions in the northeastern United States. We designed a series of disturbance scenarios to represent varied disturbance regimes in terms of both disturbance extent and intensity. We simulated forest succession by incorporating climate change under a high-emissions future, disturbances, seed dispersal, and competition using the landscape model parameterized with forest inventory data. Tree species range boundary shifts in the next century were quantified as the change in the location of the 5th (the trailing edge) and 95th (the leading edge) percentiles of the spatial distribution of simulated species. Simulated tree species range boundary shifts in New England over the next century were far below (usually &lt;20 km) that required to track the velocity of temperature change (usually more than 110 km over 100 years) under a high-emissions scenario. Simulated species` ranges shifted northward at both the leading edge (northern boundary) and trailing edge (southern boundary). Disturbances may expedite species' recruitment into new sites, but they had little effect on the velocity of simulated range boundary shifts. Range shifts at the trailing edge tended to be associated with photosynthetic capacity, competitive ability for light and seed dispersal ability, whereas shifts at the leading edge were associated only with photosynthetic capacity and competition for light. This study underscores the importance of understanding the role of interspecific competition and disturbance when studying tree range shifts.","author":[{"dropping-particle":"","family":"Liang","given":"Yu","non-dropping-particle":"","parse-names":false,"suffix":""},{"dropping-particle":"","family":"Duveneck","given":"Matthew J.","non-dropping-particle":"","parse-names":false,"suffix":""},{"dropping-particle":"","family":"Gustafson","given":"Eric J.","non-dropping-particle":"","parse-names":false,"suffix":""},{"dropping-particle":"","family":"Serra-Diaz","given":"Josep M.","non-dropping-particle":"","parse-names":false,"suffix":""},{"dropping-particle":"","family":"Thompson","given":"Jonathan R.","non-dropping-particle":"","parse-names":false,"suffix":""}],"container-title":"Global Change Biology","id":"ITEM-3","issue":"1","issued":{"date-parts":[["2018"]]},"page":"e335-e351","title":"How disturbance, competition, and dispersal interact to prevent tree range boundaries from keeping pace with climate change","type":"article-journal","volume":"24"},"uris":["http://www.mendeley.com/documents/?uuid=b8827584-736a-461e-99e8-4b7b0e8d54eb"]}],"mendeley":{"formattedCitation":"(Alexander et al., 2018; Liang et al., 2018; Sittaro et al., 2017)","manualFormatting":"(Alexander et al. 2018; Liang et al. 2018; Sittaro et al. 2017)","plainTextFormattedCitation":"(Alexander et al., 2018; Liang et al., 2018; Sittaro et al., 2017)","previouslyFormattedCitation":"(Alexander et al., 2018; Liang et al., 2018; Sittaro et al., 2017)"},"properties":{"noteIndex":0},"schema":"https://github.com/citation-style-language/schema/raw/master/csl-citation.json"}</w:instrText>
      </w:r>
      <w:r w:rsidR="000F572B">
        <w:rPr>
          <w:rFonts w:ascii="Times New Roman" w:eastAsia="Calibri" w:hAnsi="Times New Roman" w:cs="Times New Roman"/>
        </w:rPr>
        <w:fldChar w:fldCharType="separate"/>
      </w:r>
      <w:r w:rsidR="000F572B" w:rsidRPr="000F572B">
        <w:rPr>
          <w:rFonts w:ascii="Times New Roman" w:eastAsia="Calibri" w:hAnsi="Times New Roman" w:cs="Times New Roman"/>
          <w:noProof/>
        </w:rPr>
        <w:t>(Alexander et al. 2018; Liang et al. 2018; Sittaro et al. 2017)</w:t>
      </w:r>
      <w:r w:rsidR="000F572B">
        <w:rPr>
          <w:rFonts w:ascii="Times New Roman" w:eastAsia="Calibri" w:hAnsi="Times New Roman" w:cs="Times New Roman"/>
        </w:rPr>
        <w:fldChar w:fldCharType="end"/>
      </w:r>
      <w:r w:rsidRPr="001634E7">
        <w:rPr>
          <w:rFonts w:ascii="Times New Roman" w:eastAsia="Calibri" w:hAnsi="Times New Roman" w:cs="Times New Roman"/>
        </w:rPr>
        <w:t xml:space="preserve">. </w:t>
      </w:r>
    </w:p>
    <w:p w14:paraId="1E5A8D41" w14:textId="4DD8606B" w:rsidR="001634E7" w:rsidRDefault="001634E7" w:rsidP="001634E7">
      <w:pPr>
        <w:spacing w:line="360" w:lineRule="auto"/>
        <w:ind w:firstLine="720"/>
        <w:rPr>
          <w:rFonts w:ascii="Times New Roman" w:hAnsi="Times New Roman" w:cs="Times New Roman"/>
        </w:rPr>
      </w:pPr>
      <w:r w:rsidRPr="001634E7">
        <w:rPr>
          <w:rFonts w:ascii="Times New Roman" w:hAnsi="Times New Roman" w:cs="Times New Roman"/>
        </w:rPr>
        <w:t>High elevation forests and mountain alpine zones are an integral part of the cultural heritage and physical landscape of the northeastern US. These areas harbor rare species, provide important ecological services, and are known nationally for their contribution to conservation and recreation. The treeline, which defines the transition between these high elevation forests and mountain alpine zones, has often been used as a barometer for the impact of climate change, both regionally in the Northeast and across the globe. As the climate warms, treelines are expected to advance upslope as the unique and diverse alpine plant communities of mountain summits retreat. The rate of this advance serves as an indicator of ecosystem sensitivity in this important system to changing climate.</w:t>
      </w:r>
      <w:r>
        <w:rPr>
          <w:rFonts w:ascii="Times New Roman" w:hAnsi="Times New Roman" w:cs="Times New Roman"/>
        </w:rPr>
        <w:t xml:space="preserve"> </w:t>
      </w:r>
      <w:r w:rsidRPr="001634E7">
        <w:rPr>
          <w:rFonts w:ascii="Times New Roman" w:hAnsi="Times New Roman" w:cs="Times New Roman"/>
        </w:rPr>
        <w:t>In partnership with the Appalachian Mountain Club (AMC), and supervised by AMC Assistant Director of Research Dr. David Publicover, I use</w:t>
      </w:r>
      <w:r>
        <w:rPr>
          <w:rFonts w:ascii="Times New Roman" w:hAnsi="Times New Roman" w:cs="Times New Roman"/>
        </w:rPr>
        <w:t xml:space="preserve">d </w:t>
      </w:r>
      <w:r w:rsidRPr="001634E7">
        <w:rPr>
          <w:rFonts w:ascii="Times New Roman" w:hAnsi="Times New Roman" w:cs="Times New Roman"/>
        </w:rPr>
        <w:t xml:space="preserve">current and historical imagery provided by the organization from the Presidential Range of New Hampshire </w:t>
      </w:r>
      <w:r w:rsidR="002F4309">
        <w:rPr>
          <w:rFonts w:ascii="Times New Roman" w:hAnsi="Times New Roman" w:cs="Times New Roman"/>
        </w:rPr>
        <w:t xml:space="preserve">and Katahdin Range of Maine </w:t>
      </w:r>
      <w:r w:rsidRPr="001634E7">
        <w:rPr>
          <w:rFonts w:ascii="Times New Roman" w:hAnsi="Times New Roman" w:cs="Times New Roman"/>
        </w:rPr>
        <w:t>to quantify the advance of treelines over the past 40 years</w:t>
      </w:r>
      <w:r w:rsidR="002F4309">
        <w:rPr>
          <w:rFonts w:ascii="Times New Roman" w:hAnsi="Times New Roman" w:cs="Times New Roman"/>
        </w:rPr>
        <w:t>.</w:t>
      </w:r>
      <w:r w:rsidR="00B354D3">
        <w:rPr>
          <w:rFonts w:ascii="Times New Roman" w:hAnsi="Times New Roman" w:cs="Times New Roman"/>
        </w:rPr>
        <w:t xml:space="preserve"> I hypothesized that treelines on both ranges have advanced upslope during this period as climate change has accelerated. </w:t>
      </w:r>
    </w:p>
    <w:p w14:paraId="64AF37B6" w14:textId="77777777" w:rsidR="001634E7" w:rsidRPr="00183428" w:rsidRDefault="001634E7" w:rsidP="001634E7">
      <w:pPr>
        <w:spacing w:line="360" w:lineRule="auto"/>
        <w:rPr>
          <w:rFonts w:ascii="Times New Roman" w:hAnsi="Times New Roman" w:cs="Times New Roman"/>
        </w:rPr>
      </w:pPr>
    </w:p>
    <w:p w14:paraId="0D58F2E5" w14:textId="5B9719B4" w:rsidR="00C81D34" w:rsidRPr="00183428" w:rsidRDefault="00C81D34" w:rsidP="001634E7">
      <w:pPr>
        <w:spacing w:line="360" w:lineRule="auto"/>
        <w:rPr>
          <w:rFonts w:ascii="Times New Roman" w:hAnsi="Times New Roman" w:cs="Times New Roman"/>
        </w:rPr>
      </w:pPr>
      <w:r w:rsidRPr="00183428">
        <w:rPr>
          <w:rFonts w:ascii="Times New Roman" w:hAnsi="Times New Roman" w:cs="Times New Roman"/>
          <w:b/>
        </w:rPr>
        <w:t>Methods</w:t>
      </w:r>
    </w:p>
    <w:p w14:paraId="5534C4BD" w14:textId="3816BF3B" w:rsidR="00170913" w:rsidRDefault="00170913" w:rsidP="00170913">
      <w:pPr>
        <w:spacing w:line="360" w:lineRule="auto"/>
        <w:ind w:firstLine="720"/>
        <w:rPr>
          <w:rFonts w:ascii="Times New Roman" w:hAnsi="Times New Roman" w:cs="Times New Roman"/>
        </w:rPr>
      </w:pPr>
      <w:r>
        <w:rPr>
          <w:rFonts w:ascii="Times New Roman" w:hAnsi="Times New Roman" w:cs="Times New Roman"/>
        </w:rPr>
        <w:t>This</w:t>
      </w:r>
      <w:r w:rsidRPr="00170913">
        <w:rPr>
          <w:rFonts w:ascii="Times New Roman" w:hAnsi="Times New Roman" w:cs="Times New Roman"/>
        </w:rPr>
        <w:t xml:space="preserve"> study was conducted on montane </w:t>
      </w:r>
      <w:r>
        <w:rPr>
          <w:rFonts w:ascii="Times New Roman" w:hAnsi="Times New Roman" w:cs="Times New Roman"/>
        </w:rPr>
        <w:t xml:space="preserve">alpine </w:t>
      </w:r>
      <w:r w:rsidRPr="00170913">
        <w:rPr>
          <w:rFonts w:ascii="Times New Roman" w:hAnsi="Times New Roman" w:cs="Times New Roman"/>
        </w:rPr>
        <w:t xml:space="preserve">slopes in the northeastern United States </w:t>
      </w:r>
      <w:r>
        <w:rPr>
          <w:rFonts w:ascii="Times New Roman" w:hAnsi="Times New Roman" w:cs="Times New Roman"/>
        </w:rPr>
        <w:t>in two</w:t>
      </w:r>
      <w:r w:rsidRPr="00170913">
        <w:rPr>
          <w:rFonts w:ascii="Times New Roman" w:hAnsi="Times New Roman" w:cs="Times New Roman"/>
        </w:rPr>
        <w:t xml:space="preserve"> states (New Hampshire and Maine</w:t>
      </w:r>
      <w:r w:rsidR="004948E6">
        <w:rPr>
          <w:rFonts w:ascii="Times New Roman" w:hAnsi="Times New Roman" w:cs="Times New Roman"/>
        </w:rPr>
        <w:t xml:space="preserve"> – Figure 1</w:t>
      </w:r>
      <w:r w:rsidRPr="00170913">
        <w:rPr>
          <w:rFonts w:ascii="Times New Roman" w:hAnsi="Times New Roman" w:cs="Times New Roman"/>
        </w:rPr>
        <w:t xml:space="preserve">). This region encompasses diverse forests associated with the transition between the broadleaf deciduous temperate forest biome to the south and the boreal evergreen conifer forest to the north </w:t>
      </w:r>
      <w:r w:rsidR="000F572B">
        <w:rPr>
          <w:rFonts w:ascii="Times New Roman" w:hAnsi="Times New Roman" w:cs="Times New Roman"/>
        </w:rPr>
        <w:fldChar w:fldCharType="begin" w:fldLock="1"/>
      </w:r>
      <w:r w:rsidR="000F572B">
        <w:rPr>
          <w:rFonts w:ascii="Times New Roman" w:hAnsi="Times New Roman" w:cs="Times New Roman"/>
        </w:rPr>
        <w:instrText>ADDIN CSL_CITATION {"citationItems":[{"id":"ITEM-1","itemData":{"abstract":"Forest ecosystems will face direct and indirect impacts from a changing climate over the 21st century. This assessment evaluates the vulnerability of forest ecosystems across the New England region (Connecticut, Maine, Massachusetts, New Hampshire, northern New York, Rhode Island, and Vermont) under a range of future climates. We synthesized and summarized information on the contemporary landscape, provided information on past climate trends, and described a range of projected future climates. This information was used to parameterize and run multiple vegetation impact models, which provided a range of potential vegetative responses to climate. Finally, we brought these results before a multidisciplinary panel of scientists and natural resource professionals familiar with the forests of this region to assess ecosystem vulnerability through a formal consensus-based expert elicitation process. Observed trends in climate over the historical record from 1901 through 2011 show that the mean annual temperature has increased across the region by 2.4 °F, with even greater warming during winter. Precipitation patterns also changed during this time, with a slight trend toward greater annual precipitation and a substantial increase in extreme precipitation events. Projected climate trends using downscaled global climate model data indicate a potential increase in mean annual temperature of 3 to 8 °F for the assessment area by 2100. Projections for precipitation indicate an increase in fall and winter precipitation, and spring and summer precipitation projections vary by scenario. We identified potential impacts on forests by incorporating these future climate projections into three forest impact models (DISTRIB, LINKAGES, and LANDIS PRO). Model projections suggest that many northern and boreal species, including balsam fir, red spruce, and black spruce, may fare worse under future conditions, but other species may benefit from projected changes in climate. Published literature on climate impacts related to wildfire, invasive species, and forest pests and diseases also contributed to the overall determination of climate change vulnerability. We assessed vulnerability for eight forest communities in the assessment area. The assessment was conducted through a formal elicitation process with 20 scientists and resource managers from across the area, who considered vulnerability in terms of the potential impacts and the adaptive capacity for an individual community. Mon…","author":[{"dropping-particle":"","family":"Janowiak","given":"Maria K.","non-dropping-particle":"","parse-names":false,"suffix":""},{"dropping-particle":"","family":"D'Amato","given":"Anthony W.","non-dropping-particle":"","parse-names":false,"suffix":""},{"dropping-particle":"","family":"Swanston","given":"Christopher W.","non-dropping-particle":"","parse-names":false,"suffix":""},{"dropping-particle":"","family":"Iverson","given":"Louis","non-dropping-particle":"","parse-names":false,"suffix":""},{"dropping-particle":"","family":"Thompson","given":"Frank R.","non-dropping-particle":"","parse-names":false,"suffix":""},{"dropping-particle":"","family":"Dijak","given":"William D.","non-dropping-particle":"","parse-names":false,"suffix":""},{"dropping-particle":"","family":"Matthews","given":"Stephen","non-dropping-particle":"","parse-names":false,"suffix":""},{"dropping-particle":"","family":"Peters","given":"Matthew P.","non-dropping-particle":"","parse-names":false,"suffix":""},{"dropping-particle":"","family":"Prasad","given":"Anantha","non-dropping-particle":"","parse-names":false,"suffix":""},{"dropping-particle":"","family":"Fraser","given":"Jacob S.","non-dropping-particle":"","parse-names":false,"suffix":""},{"dropping-particle":"","family":"Brandt","given":"Leslie A.","non-dropping-particle":"","parse-names":false,"suffix":""},{"dropping-particle":"","family":"Butler-Leopold","given":"Patricia","non-dropping-particle":"","parse-names":false,"suffix":""},{"dropping-particle":"","family":"Handler","given":"Stephen D.","non-dropping-particle":"","parse-names":false,"suffix":""},{"dropping-particle":"","family":"Shannon","given":"P. Danielle","non-dropping-particle":"","parse-names":false,"suffix":""},{"dropping-particle":"","family":"Burbank","given":"Diane","non-dropping-particle":"","parse-names":false,"suffix":""},{"dropping-particle":"","family":"Campbell","given":"John","non-dropping-particle":"","parse-names":false,"suffix":""},{"dropping-particle":"","family":"Cogbill","given":"Charles","non-dropping-particle":"","parse-names":false,"suffix":""},{"dropping-particle":"","family":"Duveneck","given":"Matthew J.","non-dropping-particle":"","parse-names":false,"suffix":""},{"dropping-particle":"","family":"Emery","given":"Marla R.","non-dropping-particle":"","parse-names":false,"suffix":""},{"dropping-particle":"","family":"Fisichelli","given":"Nicholas","non-dropping-particle":"","parse-names":false,"suffix":""},{"dropping-particle":"","family":"Foster","given":"Jane","non-dropping-particle":"","parse-names":false,"suffix":""},{"dropping-particle":"","family":"Hushaw","given":"Jennifer","non-dropping-particle":"","parse-names":false,"suffix":""},{"dropping-particle":"","family":"Kenefic","given":"Laura","non-dropping-particle":"","parse-names":false,"suffix":""},{"dropping-particle":"","family":"Mahaffey","given":"Amanda","non-dropping-particle":"","parse-names":false,"suffix":""},{"dropping-particle":"","family":"Morelli","given":"Toni Lyn","non-dropping-particle":"","parse-names":false,"suffix":""},{"dropping-particle":"","family":"Reo","given":"Nicholas J.","non-dropping-particle":"","parse-names":false,"suffix":""},{"dropping-particle":"","family":"Schaberg","given":"Paul G.","non-dropping-particle":"","parse-names":false,"suffix":""},{"dropping-particle":"","family":"Simmons","given":"K. Rogers","non-dropping-particle":"","parse-names":false,"suffix":""},{"dropping-particle":"","family":"Weiskittel","given":"Aaron","non-dropping-particle":"","parse-names":false,"suffix":""},{"dropping-particle":"","family":"Wilmot","given":"Sandy","non-dropping-particle":"","parse-names":false,"suffix":""},{"dropping-particle":"","family":"Hollinger","given":"David","non-dropping-particle":"","parse-names":false,"suffix":""},{"dropping-particle":"","family":"Lane","given":"Erin","non-dropping-particle":"","parse-names":false,"suffix":""},{"dropping-particle":"","family":"Rustad","given":"Lindsey","non-dropping-particle":"","parse-names":false,"suffix":""},{"dropping-particle":"","family":"Templer","given":"Pamela H.","non-dropping-particle":"","parse-names":false,"suffix":""}],"id":"ITEM-1","issue":"January","issued":{"date-parts":[["2018"]]},"page":"234","title":"New England and Northern New York Forest Ecosystem Vulnerability Assessment and Synthesis : A Report from the New England Climate Change Response Framework Project","type":"article-journal"},"uris":["http://www.mendeley.com/documents/?uuid=36b81249-0758-4dce-b980-4f838989ae06"]}],"mendeley":{"formattedCitation":"(Janowiak et al., 2018)","manualFormatting":"(Janowiak et al. 2018)","plainTextFormattedCitation":"(Janowiak et al., 2018)","previouslyFormattedCitation":"(Janowiak et al., 2018)"},"properties":{"noteIndex":0},"schema":"https://github.com/citation-style-language/schema/raw/master/csl-citation.json"}</w:instrText>
      </w:r>
      <w:r w:rsidR="000F572B">
        <w:rPr>
          <w:rFonts w:ascii="Times New Roman" w:hAnsi="Times New Roman" w:cs="Times New Roman"/>
        </w:rPr>
        <w:fldChar w:fldCharType="separate"/>
      </w:r>
      <w:r w:rsidR="000F572B" w:rsidRPr="000F572B">
        <w:rPr>
          <w:rFonts w:ascii="Times New Roman" w:hAnsi="Times New Roman" w:cs="Times New Roman"/>
          <w:noProof/>
        </w:rPr>
        <w:t>(Janowiak et al. 2018)</w:t>
      </w:r>
      <w:r w:rsidR="000F572B">
        <w:rPr>
          <w:rFonts w:ascii="Times New Roman" w:hAnsi="Times New Roman" w:cs="Times New Roman"/>
        </w:rPr>
        <w:fldChar w:fldCharType="end"/>
      </w:r>
      <w:r w:rsidRPr="00170913">
        <w:rPr>
          <w:rFonts w:ascii="Times New Roman" w:hAnsi="Times New Roman" w:cs="Times New Roman"/>
        </w:rPr>
        <w:t xml:space="preserve">. The region is within the Adirondack-New England highlands which is characterized by a highly variable terrain (generally ranging from 150 to 1,220 meters above sea level), rocky spodosol soils, and continental forest climate with warm summers and cold and snowy winters (mean annual temperatures between 3 and 11˚C; mean length of the frost-free period ~100 days; mean annual snowfall &gt; 2,550 mm) and evenly distributed precipitation (annual mean precipitation of 890 mm, Albany, New York) </w:t>
      </w:r>
      <w:r w:rsidR="000F572B">
        <w:rPr>
          <w:rFonts w:ascii="Times New Roman" w:hAnsi="Times New Roman" w:cs="Times New Roman"/>
        </w:rPr>
        <w:fldChar w:fldCharType="begin" w:fldLock="1"/>
      </w:r>
      <w:r w:rsidR="000F572B">
        <w:rPr>
          <w:rFonts w:ascii="Times New Roman" w:hAnsi="Times New Roman" w:cs="Times New Roman"/>
        </w:rPr>
        <w:instrText>ADDIN CSL_CITATION {"citationItems":[{"id":"ITEM-1","itemData":{"abstract":"Forest ecosystems will face direct and indirect impacts from a changing climate over the 21st century. This assessment evaluates the vulnerability of forest ecosystems across the New England region (Connecticut, Maine, Massachusetts, New Hampshire, northern New York, Rhode Island, and Vermont) under a range of future climates. We synthesized and summarized information on the contemporary landscape, provided information on past climate trends, and described a range of projected future climates. This information was used to parameterize and run multiple vegetation impact models, which provided a range of potential vegetative responses to climate. Finally, we brought these results before a multidisciplinary panel of scientists and natural resource professionals familiar with the forests of this region to assess ecosystem vulnerability through a formal consensus-based expert elicitation process. Observed trends in climate over the historical record from 1901 through 2011 show that the mean annual temperature has increased across the region by 2.4 °F, with even greater warming during winter. Precipitation patterns also changed during this time, with a slight trend toward greater annual precipitation and a substantial increase in extreme precipitation events. Projected climate trends using downscaled global climate model data indicate a potential increase in mean annual temperature of 3 to 8 °F for the assessment area by 2100. Projections for precipitation indicate an increase in fall and winter precipitation, and spring and summer precipitation projections vary by scenario. We identified potential impacts on forests by incorporating these future climate projections into three forest impact models (DISTRIB, LINKAGES, and LANDIS PRO). Model projections suggest that many northern and boreal species, including balsam fir, red spruce, and black spruce, may fare worse under future conditions, but other species may benefit from projected changes in climate. Published literature on climate impacts related to wildfire, invasive species, and forest pests and diseases also contributed to the overall determination of climate change vulnerability. We assessed vulnerability for eight forest communities in the assessment area. The assessment was conducted through a formal elicitation process with 20 scientists and resource managers from across the area, who considered vulnerability in terms of the potential impacts and the adaptive capacity for an individual community. Mon…","author":[{"dropping-particle":"","family":"Janowiak","given":"Maria K.","non-dropping-particle":"","parse-names":false,"suffix":""},{"dropping-particle":"","family":"D'Amato","given":"Anthony W.","non-dropping-particle":"","parse-names":false,"suffix":""},{"dropping-particle":"","family":"Swanston","given":"Christopher W.","non-dropping-particle":"","parse-names":false,"suffix":""},{"dropping-particle":"","family":"Iverson","given":"Louis","non-dropping-particle":"","parse-names":false,"suffix":""},{"dropping-particle":"","family":"Thompson","given":"Frank R.","non-dropping-particle":"","parse-names":false,"suffix":""},{"dropping-particle":"","family":"Dijak","given":"William D.","non-dropping-particle":"","parse-names":false,"suffix":""},{"dropping-particle":"","family":"Matthews","given":"Stephen","non-dropping-particle":"","parse-names":false,"suffix":""},{"dropping-particle":"","family":"Peters","given":"Matthew P.","non-dropping-particle":"","parse-names":false,"suffix":""},{"dropping-particle":"","family":"Prasad","given":"Anantha","non-dropping-particle":"","parse-names":false,"suffix":""},{"dropping-particle":"","family":"Fraser","given":"Jacob S.","non-dropping-particle":"","parse-names":false,"suffix":""},{"dropping-particle":"","family":"Brandt","given":"Leslie A.","non-dropping-particle":"","parse-names":false,"suffix":""},{"dropping-particle":"","family":"Butler-Leopold","given":"Patricia","non-dropping-particle":"","parse-names":false,"suffix":""},{"dropping-particle":"","family":"Handler","given":"Stephen D.","non-dropping-particle":"","parse-names":false,"suffix":""},{"dropping-particle":"","family":"Shannon","given":"P. Danielle","non-dropping-particle":"","parse-names":false,"suffix":""},{"dropping-particle":"","family":"Burbank","given":"Diane","non-dropping-particle":"","parse-names":false,"suffix":""},{"dropping-particle":"","family":"Campbell","given":"John","non-dropping-particle":"","parse-names":false,"suffix":""},{"dropping-particle":"","family":"Cogbill","given":"Charles","non-dropping-particle":"","parse-names":false,"suffix":""},{"dropping-particle":"","family":"Duveneck","given":"Matthew J.","non-dropping-particle":"","parse-names":false,"suffix":""},{"dropping-particle":"","family":"Emery","given":"Marla R.","non-dropping-particle":"","parse-names":false,"suffix":""},{"dropping-particle":"","family":"Fisichelli","given":"Nicholas","non-dropping-particle":"","parse-names":false,"suffix":""},{"dropping-particle":"","family":"Foster","given":"Jane","non-dropping-particle":"","parse-names":false,"suffix":""},{"dropping-particle":"","family":"Hushaw","given":"Jennifer","non-dropping-particle":"","parse-names":false,"suffix":""},{"dropping-particle":"","family":"Kenefic","given":"Laura","non-dropping-particle":"","parse-names":false,"suffix":""},{"dropping-particle":"","family":"Mahaffey","given":"Amanda","non-dropping-particle":"","parse-names":false,"suffix":""},{"dropping-particle":"","family":"Morelli","given":"Toni Lyn","non-dropping-particle":"","parse-names":false,"suffix":""},{"dropping-particle":"","family":"Reo","given":"Nicholas J.","non-dropping-particle":"","parse-names":false,"suffix":""},{"dropping-particle":"","family":"Schaberg","given":"Paul G.","non-dropping-particle":"","parse-names":false,"suffix":""},{"dropping-particle":"","family":"Simmons","given":"K. Rogers","non-dropping-particle":"","parse-names":false,"suffix":""},{"dropping-particle":"","family":"Weiskittel","given":"Aaron","non-dropping-particle":"","parse-names":false,"suffix":""},{"dropping-particle":"","family":"Wilmot","given":"Sandy","non-dropping-particle":"","parse-names":false,"suffix":""},{"dropping-particle":"","family":"Hollinger","given":"David","non-dropping-particle":"","parse-names":false,"suffix":""},{"dropping-particle":"","family":"Lane","given":"Erin","non-dropping-particle":"","parse-names":false,"suffix":""},{"dropping-particle":"","family":"Rustad","given":"Lindsey","non-dropping-particle":"","parse-names":false,"suffix":""},{"dropping-particle":"","family":"Templer","given":"Pamela H.","non-dropping-particle":"","parse-names":false,"suffix":""}],"id":"ITEM-1","issue":"January","issued":{"date-parts":[["2018"]]},"page":"234","title":"New England and Northern New York Forest Ecosystem Vulnerability Assessment and Synthesis : A Report from the New England Climate Change Response Framework Project","type":"article-journal"},"uris":["http://www.mendeley.com/documents/?uuid=36b81249-0758-4dce-b980-4f838989ae06"]}],"mendeley":{"formattedCitation":"(Janowiak et al., 2018)","manualFormatting":"(Janowiak et al. 2018)","plainTextFormattedCitation":"(Janowiak et al., 2018)","previouslyFormattedCitation":"(Janowiak et al., 2018)"},"properties":{"noteIndex":0},"schema":"https://github.com/citation-style-language/schema/raw/master/csl-citation.json"}</w:instrText>
      </w:r>
      <w:r w:rsidR="000F572B">
        <w:rPr>
          <w:rFonts w:ascii="Times New Roman" w:hAnsi="Times New Roman" w:cs="Times New Roman"/>
        </w:rPr>
        <w:fldChar w:fldCharType="separate"/>
      </w:r>
      <w:r w:rsidR="000F572B" w:rsidRPr="000F572B">
        <w:rPr>
          <w:rFonts w:ascii="Times New Roman" w:hAnsi="Times New Roman" w:cs="Times New Roman"/>
          <w:noProof/>
        </w:rPr>
        <w:t>(Janowiak et al. 2018)</w:t>
      </w:r>
      <w:r w:rsidR="000F572B">
        <w:rPr>
          <w:rFonts w:ascii="Times New Roman" w:hAnsi="Times New Roman" w:cs="Times New Roman"/>
        </w:rPr>
        <w:fldChar w:fldCharType="end"/>
      </w:r>
      <w:r w:rsidRPr="00170913">
        <w:rPr>
          <w:rFonts w:ascii="Times New Roman" w:hAnsi="Times New Roman" w:cs="Times New Roman"/>
        </w:rPr>
        <w:t>.</w:t>
      </w:r>
      <w:r w:rsidR="00545D63">
        <w:rPr>
          <w:rFonts w:ascii="Times New Roman" w:hAnsi="Times New Roman" w:cs="Times New Roman"/>
        </w:rPr>
        <w:tab/>
      </w:r>
    </w:p>
    <w:p w14:paraId="248B2860" w14:textId="2B0DABEB" w:rsidR="00CD6BA1" w:rsidRDefault="00170913" w:rsidP="00170913">
      <w:pPr>
        <w:spacing w:line="360" w:lineRule="auto"/>
        <w:ind w:firstLine="720"/>
        <w:rPr>
          <w:rFonts w:ascii="Times New Roman" w:hAnsi="Times New Roman" w:cs="Times New Roman"/>
        </w:rPr>
      </w:pPr>
      <w:r>
        <w:rPr>
          <w:rFonts w:ascii="Times New Roman" w:hAnsi="Times New Roman" w:cs="Times New Roman"/>
        </w:rPr>
        <w:t xml:space="preserve">Physical copies of historical aerial imagery were acquired from the AMC. Imagery for the Presidential Range was taken in 1978 and for Katahdin in 1991. Images were photo scanned and converted to TIFF format at 300 dpi. Contemporary landscapes comparisons were facilitated </w:t>
      </w:r>
      <w:r>
        <w:rPr>
          <w:rFonts w:ascii="Times New Roman" w:hAnsi="Times New Roman" w:cs="Times New Roman"/>
        </w:rPr>
        <w:lastRenderedPageBreak/>
        <w:t xml:space="preserve">by 2018 false-color near-infrared NAIP imagery using a NAD1983 datum. </w:t>
      </w:r>
      <w:r w:rsidR="00CD6BA1">
        <w:rPr>
          <w:rFonts w:ascii="Times New Roman" w:hAnsi="Times New Roman" w:cs="Times New Roman"/>
        </w:rPr>
        <w:t>Using ArcGIS 10.9, h</w:t>
      </w:r>
      <w:r>
        <w:rPr>
          <w:rFonts w:ascii="Times New Roman" w:hAnsi="Times New Roman" w:cs="Times New Roman"/>
        </w:rPr>
        <w:t>istoric imagery was ortho- and georectified using newer imagery via a spline function</w:t>
      </w:r>
      <w:r w:rsidR="00CD6BA1">
        <w:rPr>
          <w:rFonts w:ascii="Times New Roman" w:hAnsi="Times New Roman" w:cs="Times New Roman"/>
        </w:rPr>
        <w:t>, and then converted into one orthomosaic image</w:t>
      </w:r>
      <w:r>
        <w:rPr>
          <w:rFonts w:ascii="Times New Roman" w:hAnsi="Times New Roman" w:cs="Times New Roman"/>
        </w:rPr>
        <w:t>. All areas above treeline were manually digitized and then converted to a raster format</w:t>
      </w:r>
      <w:r w:rsidR="00CD6BA1">
        <w:rPr>
          <w:rFonts w:ascii="Times New Roman" w:hAnsi="Times New Roman" w:cs="Times New Roman"/>
        </w:rPr>
        <w:t xml:space="preserve"> for both new and historic imagery</w:t>
      </w:r>
      <w:r>
        <w:rPr>
          <w:rFonts w:ascii="Times New Roman" w:hAnsi="Times New Roman" w:cs="Times New Roman"/>
        </w:rPr>
        <w:t xml:space="preserve">. Alpine rasters were multiplied by a 1m resolution DEM for the region in order to calculate </w:t>
      </w:r>
      <w:r w:rsidR="00CD6BA1">
        <w:rPr>
          <w:rFonts w:ascii="Times New Roman" w:hAnsi="Times New Roman" w:cs="Times New Roman"/>
        </w:rPr>
        <w:t>elevation of treelines. A total of 200 random sampling points were selected along treeline</w:t>
      </w:r>
      <w:r w:rsidR="00B354D3">
        <w:rPr>
          <w:rFonts w:ascii="Times New Roman" w:hAnsi="Times New Roman" w:cs="Times New Roman"/>
        </w:rPr>
        <w:t>s</w:t>
      </w:r>
      <w:r w:rsidR="00CD6BA1">
        <w:rPr>
          <w:rFonts w:ascii="Times New Roman" w:hAnsi="Times New Roman" w:cs="Times New Roman"/>
        </w:rPr>
        <w:t xml:space="preserve"> on the new NAIP imagery. Differences between the elevation of these points and the elevation of the nearest treeline location on historic ranges were calculated to quantify mean treeline advance over the intervening time period. </w:t>
      </w:r>
    </w:p>
    <w:p w14:paraId="6CF39BAB" w14:textId="4F054E36" w:rsidR="00545D63" w:rsidRDefault="00CD6BA1" w:rsidP="004948E6">
      <w:pPr>
        <w:spacing w:line="360" w:lineRule="auto"/>
        <w:ind w:firstLine="720"/>
        <w:rPr>
          <w:rFonts w:ascii="Times New Roman" w:hAnsi="Times New Roman" w:cs="Times New Roman"/>
        </w:rPr>
      </w:pPr>
      <w:r>
        <w:rPr>
          <w:rFonts w:ascii="Times New Roman" w:hAnsi="Times New Roman" w:cs="Times New Roman"/>
        </w:rPr>
        <w:t xml:space="preserve">In addition to the spatial analysis, field sampling was done to characterize the forest community occurring at treeline. A total of 54 belt transects (33 in the Presidential Range, 21 in the Katahdin Range) were established. Each transect was 100 m in length and was placed vertically in elevation running from forest interior to beyond </w:t>
      </w:r>
      <w:r w:rsidR="00B354D3">
        <w:rPr>
          <w:rFonts w:ascii="Times New Roman" w:hAnsi="Times New Roman" w:cs="Times New Roman"/>
        </w:rPr>
        <w:t xml:space="preserve">the </w:t>
      </w:r>
      <w:r>
        <w:rPr>
          <w:rFonts w:ascii="Times New Roman" w:hAnsi="Times New Roman" w:cs="Times New Roman"/>
        </w:rPr>
        <w:t xml:space="preserve">treeline. Trees were recorded that intersected the transect. Tree species, dbh, height, and position to and along the transect were recorded. Additionally, at 20 m intervals I recoded </w:t>
      </w:r>
      <w:r w:rsidR="004948E6">
        <w:rPr>
          <w:rFonts w:ascii="Times New Roman" w:hAnsi="Times New Roman" w:cs="Times New Roman"/>
        </w:rPr>
        <w:t>slope, aspect, elevation, and soil depth to bedrock. GPS points were taken at the start and end of each transect.</w:t>
      </w:r>
      <w:r>
        <w:rPr>
          <w:rFonts w:ascii="Times New Roman" w:hAnsi="Times New Roman" w:cs="Times New Roman"/>
        </w:rPr>
        <w:t xml:space="preserve">   </w:t>
      </w:r>
      <w:r w:rsidR="00545D63">
        <w:rPr>
          <w:rFonts w:ascii="Times New Roman" w:hAnsi="Times New Roman" w:cs="Times New Roman"/>
        </w:rPr>
        <w:tab/>
      </w:r>
    </w:p>
    <w:p w14:paraId="39454690" w14:textId="2FB4FD33" w:rsidR="00545D63" w:rsidRPr="00545D63" w:rsidRDefault="00545D63" w:rsidP="001634E7">
      <w:pPr>
        <w:spacing w:line="360" w:lineRule="auto"/>
        <w:rPr>
          <w:rFonts w:ascii="Times New Roman" w:hAnsi="Times New Roman" w:cs="Times New Roman"/>
        </w:rPr>
      </w:pPr>
    </w:p>
    <w:p w14:paraId="132E1DFC" w14:textId="3864E228" w:rsidR="004948E6" w:rsidRPr="004948E6" w:rsidRDefault="00B354D3" w:rsidP="009B6B46">
      <w:pPr>
        <w:spacing w:line="360"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1B1C800B" wp14:editId="661E3722">
            <wp:simplePos x="0" y="0"/>
            <wp:positionH relativeFrom="margin">
              <wp:align>center</wp:align>
            </wp:positionH>
            <wp:positionV relativeFrom="paragraph">
              <wp:posOffset>0</wp:posOffset>
            </wp:positionV>
            <wp:extent cx="5729605" cy="320802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9605" cy="3208020"/>
                    </a:xfrm>
                    <a:prstGeom prst="rect">
                      <a:avLst/>
                    </a:prstGeom>
                    <a:noFill/>
                  </pic:spPr>
                </pic:pic>
              </a:graphicData>
            </a:graphic>
            <wp14:sizeRelH relativeFrom="margin">
              <wp14:pctWidth>0</wp14:pctWidth>
            </wp14:sizeRelH>
            <wp14:sizeRelV relativeFrom="margin">
              <wp14:pctHeight>0</wp14:pctHeight>
            </wp14:sizeRelV>
          </wp:anchor>
        </w:drawing>
      </w:r>
      <w:r w:rsidR="009B6B46">
        <w:rPr>
          <w:noProof/>
        </w:rPr>
        <mc:AlternateContent>
          <mc:Choice Requires="wps">
            <w:drawing>
              <wp:anchor distT="0" distB="0" distL="114300" distR="114300" simplePos="0" relativeHeight="251660288" behindDoc="0" locked="0" layoutInCell="1" allowOverlap="1" wp14:anchorId="151E002E" wp14:editId="795A4190">
                <wp:simplePos x="0" y="0"/>
                <wp:positionH relativeFrom="column">
                  <wp:posOffset>106680</wp:posOffset>
                </wp:positionH>
                <wp:positionV relativeFrom="paragraph">
                  <wp:posOffset>3414395</wp:posOffset>
                </wp:positionV>
                <wp:extent cx="572960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29605" cy="635"/>
                        </a:xfrm>
                        <a:prstGeom prst="rect">
                          <a:avLst/>
                        </a:prstGeom>
                        <a:solidFill>
                          <a:prstClr val="white"/>
                        </a:solidFill>
                        <a:ln>
                          <a:noFill/>
                        </a:ln>
                      </wps:spPr>
                      <wps:txbx>
                        <w:txbxContent>
                          <w:p w14:paraId="099A4DD8" w14:textId="68FB0D02" w:rsidR="009B6B46" w:rsidRPr="009B6B46" w:rsidRDefault="009B6B46" w:rsidP="009B6B46">
                            <w:pPr>
                              <w:pStyle w:val="Caption"/>
                              <w:jc w:val="center"/>
                              <w:rPr>
                                <w:rFonts w:ascii="Times New Roman" w:hAnsi="Times New Roman" w:cs="Times New Roman"/>
                                <w:b/>
                                <w:bCs/>
                                <w:i w:val="0"/>
                                <w:iCs w:val="0"/>
                                <w:noProof/>
                                <w:color w:val="auto"/>
                                <w:sz w:val="28"/>
                                <w:szCs w:val="28"/>
                              </w:rPr>
                            </w:pPr>
                            <w:r w:rsidRPr="009B6B46">
                              <w:rPr>
                                <w:rFonts w:ascii="Times New Roman" w:hAnsi="Times New Roman" w:cs="Times New Roman"/>
                                <w:b/>
                                <w:bCs/>
                                <w:i w:val="0"/>
                                <w:iCs w:val="0"/>
                                <w:color w:val="auto"/>
                                <w:sz w:val="20"/>
                                <w:szCs w:val="20"/>
                              </w:rPr>
                              <w:t xml:space="preserve">Figure </w:t>
                            </w:r>
                            <w:r w:rsidRPr="009B6B46">
                              <w:rPr>
                                <w:rFonts w:ascii="Times New Roman" w:hAnsi="Times New Roman" w:cs="Times New Roman"/>
                                <w:b/>
                                <w:bCs/>
                                <w:i w:val="0"/>
                                <w:iCs w:val="0"/>
                                <w:color w:val="auto"/>
                                <w:sz w:val="20"/>
                                <w:szCs w:val="20"/>
                              </w:rPr>
                              <w:fldChar w:fldCharType="begin"/>
                            </w:r>
                            <w:r w:rsidRPr="009B6B46">
                              <w:rPr>
                                <w:rFonts w:ascii="Times New Roman" w:hAnsi="Times New Roman" w:cs="Times New Roman"/>
                                <w:b/>
                                <w:bCs/>
                                <w:i w:val="0"/>
                                <w:iCs w:val="0"/>
                                <w:color w:val="auto"/>
                                <w:sz w:val="20"/>
                                <w:szCs w:val="20"/>
                              </w:rPr>
                              <w:instrText xml:space="preserve"> SEQ Figure \* ARABIC </w:instrText>
                            </w:r>
                            <w:r w:rsidRPr="009B6B46">
                              <w:rPr>
                                <w:rFonts w:ascii="Times New Roman" w:hAnsi="Times New Roman" w:cs="Times New Roman"/>
                                <w:b/>
                                <w:bCs/>
                                <w:i w:val="0"/>
                                <w:iCs w:val="0"/>
                                <w:color w:val="auto"/>
                                <w:sz w:val="20"/>
                                <w:szCs w:val="20"/>
                              </w:rPr>
                              <w:fldChar w:fldCharType="separate"/>
                            </w:r>
                            <w:r w:rsidR="00CC1F88">
                              <w:rPr>
                                <w:rFonts w:ascii="Times New Roman" w:hAnsi="Times New Roman" w:cs="Times New Roman"/>
                                <w:b/>
                                <w:bCs/>
                                <w:i w:val="0"/>
                                <w:iCs w:val="0"/>
                                <w:noProof/>
                                <w:color w:val="auto"/>
                                <w:sz w:val="20"/>
                                <w:szCs w:val="20"/>
                              </w:rPr>
                              <w:t>1</w:t>
                            </w:r>
                            <w:r w:rsidRPr="009B6B46">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False-color near-infrared images of the Presidential Range (left) and Katahdin Range (right) and their locations within the northeastern United States. Red areas represent forest canopy cover and lighter areas are generally exposed rock or low-lying alpine vegetation.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1E002E" id="_x0000_t202" coordsize="21600,21600" o:spt="202" path="m,l,21600r21600,l21600,xe">
                <v:stroke joinstyle="miter"/>
                <v:path gradientshapeok="t" o:connecttype="rect"/>
              </v:shapetype>
              <v:shape id="Text Box 8" o:spid="_x0000_s1026" type="#_x0000_t202" style="position:absolute;left:0;text-align:left;margin-left:8.4pt;margin-top:268.85pt;width:451.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" stroked="f">
                <v:textbox style="mso-fit-shape-to-text:t" inset="0,0,0,0">
                  <w:txbxContent>
                    <w:p w14:paraId="099A4DD8" w14:textId="68FB0D02" w:rsidR="009B6B46" w:rsidRPr="009B6B46" w:rsidRDefault="009B6B46" w:rsidP="009B6B46">
                      <w:pPr>
                        <w:pStyle w:val="Caption"/>
                        <w:jc w:val="center"/>
                        <w:rPr>
                          <w:rFonts w:ascii="Times New Roman" w:hAnsi="Times New Roman" w:cs="Times New Roman"/>
                          <w:b/>
                          <w:bCs/>
                          <w:i w:val="0"/>
                          <w:iCs w:val="0"/>
                          <w:noProof/>
                          <w:color w:val="auto"/>
                          <w:sz w:val="28"/>
                          <w:szCs w:val="28"/>
                        </w:rPr>
                      </w:pPr>
                      <w:r w:rsidRPr="009B6B46">
                        <w:rPr>
                          <w:rFonts w:ascii="Times New Roman" w:hAnsi="Times New Roman" w:cs="Times New Roman"/>
                          <w:b/>
                          <w:bCs/>
                          <w:i w:val="0"/>
                          <w:iCs w:val="0"/>
                          <w:color w:val="auto"/>
                          <w:sz w:val="20"/>
                          <w:szCs w:val="20"/>
                        </w:rPr>
                        <w:t xml:space="preserve">Figure </w:t>
                      </w:r>
                      <w:r w:rsidRPr="009B6B46">
                        <w:rPr>
                          <w:rFonts w:ascii="Times New Roman" w:hAnsi="Times New Roman" w:cs="Times New Roman"/>
                          <w:b/>
                          <w:bCs/>
                          <w:i w:val="0"/>
                          <w:iCs w:val="0"/>
                          <w:color w:val="auto"/>
                          <w:sz w:val="20"/>
                          <w:szCs w:val="20"/>
                        </w:rPr>
                        <w:fldChar w:fldCharType="begin"/>
                      </w:r>
                      <w:r w:rsidRPr="009B6B46">
                        <w:rPr>
                          <w:rFonts w:ascii="Times New Roman" w:hAnsi="Times New Roman" w:cs="Times New Roman"/>
                          <w:b/>
                          <w:bCs/>
                          <w:i w:val="0"/>
                          <w:iCs w:val="0"/>
                          <w:color w:val="auto"/>
                          <w:sz w:val="20"/>
                          <w:szCs w:val="20"/>
                        </w:rPr>
                        <w:instrText xml:space="preserve"> SEQ Figure \* ARABIC </w:instrText>
                      </w:r>
                      <w:r w:rsidRPr="009B6B46">
                        <w:rPr>
                          <w:rFonts w:ascii="Times New Roman" w:hAnsi="Times New Roman" w:cs="Times New Roman"/>
                          <w:b/>
                          <w:bCs/>
                          <w:i w:val="0"/>
                          <w:iCs w:val="0"/>
                          <w:color w:val="auto"/>
                          <w:sz w:val="20"/>
                          <w:szCs w:val="20"/>
                        </w:rPr>
                        <w:fldChar w:fldCharType="separate"/>
                      </w:r>
                      <w:r w:rsidR="00CC1F88">
                        <w:rPr>
                          <w:rFonts w:ascii="Times New Roman" w:hAnsi="Times New Roman" w:cs="Times New Roman"/>
                          <w:b/>
                          <w:bCs/>
                          <w:i w:val="0"/>
                          <w:iCs w:val="0"/>
                          <w:noProof/>
                          <w:color w:val="auto"/>
                          <w:sz w:val="20"/>
                          <w:szCs w:val="20"/>
                        </w:rPr>
                        <w:t>1</w:t>
                      </w:r>
                      <w:r w:rsidRPr="009B6B46">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False-color near-infrared images of the Presidential Range (left) and Katahdin Range (right) and their locations within the northeastern United States. Red areas represent forest canopy cover and lighter areas are generally exposed rock or low-lying alpine vegetation.</w:t>
                      </w:r>
                    </w:p>
                  </w:txbxContent>
                </v:textbox>
                <w10:wrap type="square"/>
              </v:shape>
            </w:pict>
          </mc:Fallback>
        </mc:AlternateContent>
      </w:r>
    </w:p>
    <w:p w14:paraId="1AEABD64" w14:textId="6B410843" w:rsidR="00C81D34" w:rsidRDefault="00C81D34" w:rsidP="001634E7">
      <w:pPr>
        <w:spacing w:line="360" w:lineRule="auto"/>
        <w:rPr>
          <w:rFonts w:ascii="Times New Roman" w:hAnsi="Times New Roman" w:cs="Times New Roman"/>
          <w:b/>
        </w:rPr>
      </w:pPr>
      <w:r>
        <w:rPr>
          <w:rFonts w:ascii="Times New Roman" w:hAnsi="Times New Roman" w:cs="Times New Roman"/>
          <w:b/>
        </w:rPr>
        <w:lastRenderedPageBreak/>
        <w:t>Results</w:t>
      </w:r>
    </w:p>
    <w:p w14:paraId="38E6E9A0" w14:textId="2F1B0BE3" w:rsidR="004948E6" w:rsidRDefault="004948E6" w:rsidP="001634E7">
      <w:pPr>
        <w:spacing w:line="360" w:lineRule="auto"/>
        <w:rPr>
          <w:rFonts w:ascii="Times New Roman" w:hAnsi="Times New Roman" w:cs="Times New Roman"/>
          <w:bCs/>
        </w:rPr>
      </w:pPr>
      <w:r>
        <w:rPr>
          <w:rFonts w:ascii="Times New Roman" w:hAnsi="Times New Roman" w:cs="Times New Roman"/>
          <w:b/>
        </w:rPr>
        <w:tab/>
      </w:r>
      <w:r>
        <w:rPr>
          <w:rFonts w:ascii="Times New Roman" w:hAnsi="Times New Roman" w:cs="Times New Roman"/>
          <w:bCs/>
        </w:rPr>
        <w:t xml:space="preserve">Treelines have advanced in the Presidential Range </w:t>
      </w:r>
      <w:r w:rsidR="00B354D3">
        <w:rPr>
          <w:rFonts w:ascii="Times New Roman" w:hAnsi="Times New Roman" w:cs="Times New Roman"/>
          <w:bCs/>
        </w:rPr>
        <w:t>a</w:t>
      </w:r>
      <w:r>
        <w:rPr>
          <w:rFonts w:ascii="Times New Roman" w:hAnsi="Times New Roman" w:cs="Times New Roman"/>
          <w:bCs/>
        </w:rPr>
        <w:t>n average of ~12 m in the last 40 years. Treelines have also advanced on Katahdin approximately ~8 m in the last 30 years, however, this is not statistically significant (Figure 2, Tables 1 and 2). Forest trees have encroached on</w:t>
      </w:r>
      <w:r w:rsidR="00F47CBB">
        <w:rPr>
          <w:rFonts w:ascii="Times New Roman" w:hAnsi="Times New Roman" w:cs="Times New Roman"/>
          <w:bCs/>
        </w:rPr>
        <w:t xml:space="preserve"> all aspects of both ranges, but more so on western aspects (Figure 3). Treelines seem to be constrained somewhat by soil depth (Figure 4). Lastly, total potential area for alpine vegetation has decreased on both ranges, but most dramatically in the Presidentials (14.3% reduction – Table 2). </w:t>
      </w:r>
    </w:p>
    <w:p w14:paraId="68D5D9D7" w14:textId="77777777" w:rsidR="00F47CBB" w:rsidRPr="004948E6" w:rsidRDefault="00F47CBB" w:rsidP="001634E7">
      <w:pPr>
        <w:spacing w:line="360" w:lineRule="auto"/>
        <w:rPr>
          <w:rFonts w:ascii="Times New Roman" w:hAnsi="Times New Roman" w:cs="Times New Roman"/>
          <w:bCs/>
        </w:rPr>
      </w:pPr>
    </w:p>
    <w:p w14:paraId="2C3E1970" w14:textId="77777777" w:rsidR="009B6B46" w:rsidRDefault="00545D63" w:rsidP="009B6B46">
      <w:pPr>
        <w:keepNext/>
        <w:spacing w:line="360" w:lineRule="auto"/>
        <w:jc w:val="center"/>
      </w:pPr>
      <w:r>
        <w:rPr>
          <w:rFonts w:ascii="Times New Roman" w:hAnsi="Times New Roman" w:cs="Times New Roman"/>
          <w:b/>
          <w:noProof/>
        </w:rPr>
        <w:drawing>
          <wp:inline distT="0" distB="0" distL="0" distR="0" wp14:anchorId="0A92748B" wp14:editId="5CCCD398">
            <wp:extent cx="4197974" cy="36218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3187" cy="3643632"/>
                    </a:xfrm>
                    <a:prstGeom prst="rect">
                      <a:avLst/>
                    </a:prstGeom>
                    <a:noFill/>
                  </pic:spPr>
                </pic:pic>
              </a:graphicData>
            </a:graphic>
          </wp:inline>
        </w:drawing>
      </w:r>
    </w:p>
    <w:p w14:paraId="0AFA5169" w14:textId="3BC442FB" w:rsidR="00545D63" w:rsidRPr="009B6B46" w:rsidRDefault="009B6B46" w:rsidP="009B6B46">
      <w:pPr>
        <w:pStyle w:val="Caption"/>
        <w:jc w:val="center"/>
        <w:rPr>
          <w:rFonts w:ascii="Times New Roman" w:hAnsi="Times New Roman" w:cs="Times New Roman"/>
          <w:b/>
          <w:bCs/>
          <w:i w:val="0"/>
          <w:iCs w:val="0"/>
          <w:color w:val="auto"/>
          <w:sz w:val="20"/>
          <w:szCs w:val="20"/>
        </w:rPr>
      </w:pPr>
      <w:r w:rsidRPr="009B6B46">
        <w:rPr>
          <w:rFonts w:ascii="Times New Roman" w:hAnsi="Times New Roman" w:cs="Times New Roman"/>
          <w:b/>
          <w:bCs/>
          <w:i w:val="0"/>
          <w:iCs w:val="0"/>
          <w:color w:val="auto"/>
          <w:sz w:val="20"/>
          <w:szCs w:val="20"/>
        </w:rPr>
        <w:t xml:space="preserve">Figure </w:t>
      </w:r>
      <w:r w:rsidRPr="009B6B46">
        <w:rPr>
          <w:rFonts w:ascii="Times New Roman" w:hAnsi="Times New Roman" w:cs="Times New Roman"/>
          <w:b/>
          <w:bCs/>
          <w:i w:val="0"/>
          <w:iCs w:val="0"/>
          <w:color w:val="auto"/>
          <w:sz w:val="20"/>
          <w:szCs w:val="20"/>
        </w:rPr>
        <w:fldChar w:fldCharType="begin"/>
      </w:r>
      <w:r w:rsidRPr="009B6B46">
        <w:rPr>
          <w:rFonts w:ascii="Times New Roman" w:hAnsi="Times New Roman" w:cs="Times New Roman"/>
          <w:b/>
          <w:bCs/>
          <w:i w:val="0"/>
          <w:iCs w:val="0"/>
          <w:color w:val="auto"/>
          <w:sz w:val="20"/>
          <w:szCs w:val="20"/>
        </w:rPr>
        <w:instrText xml:space="preserve"> SEQ Figure \* ARABIC </w:instrText>
      </w:r>
      <w:r w:rsidRPr="009B6B46">
        <w:rPr>
          <w:rFonts w:ascii="Times New Roman" w:hAnsi="Times New Roman" w:cs="Times New Roman"/>
          <w:b/>
          <w:bCs/>
          <w:i w:val="0"/>
          <w:iCs w:val="0"/>
          <w:color w:val="auto"/>
          <w:sz w:val="20"/>
          <w:szCs w:val="20"/>
        </w:rPr>
        <w:fldChar w:fldCharType="separate"/>
      </w:r>
      <w:r w:rsidR="00CC1F88">
        <w:rPr>
          <w:rFonts w:ascii="Times New Roman" w:hAnsi="Times New Roman" w:cs="Times New Roman"/>
          <w:b/>
          <w:bCs/>
          <w:i w:val="0"/>
          <w:iCs w:val="0"/>
          <w:noProof/>
          <w:color w:val="auto"/>
          <w:sz w:val="20"/>
          <w:szCs w:val="20"/>
        </w:rPr>
        <w:t>2</w:t>
      </w:r>
      <w:r w:rsidRPr="009B6B46">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Top panels – Presidentials; bottom panels – Katahdin. Left panels are rasters of alpine areas derived from historic images; middle panels are rasters of alpine areas derived from contemporary images; right panels show areas of forest encroachment in the intervening time periods (highlighted in yellow). </w:t>
      </w:r>
    </w:p>
    <w:p w14:paraId="59DDFB84" w14:textId="3406EC38" w:rsidR="00545D63" w:rsidRDefault="00545D63" w:rsidP="001634E7">
      <w:pPr>
        <w:spacing w:line="360" w:lineRule="auto"/>
        <w:rPr>
          <w:rFonts w:ascii="Times New Roman" w:hAnsi="Times New Roman" w:cs="Times New Roman"/>
          <w:b/>
        </w:rPr>
      </w:pPr>
    </w:p>
    <w:p w14:paraId="4690CD2A" w14:textId="41751A3E" w:rsidR="009B6B46" w:rsidRPr="009B6B46" w:rsidRDefault="009B6B46" w:rsidP="009B6B46">
      <w:pPr>
        <w:pStyle w:val="Caption"/>
        <w:keepNext/>
        <w:jc w:val="center"/>
        <w:rPr>
          <w:rFonts w:ascii="Times New Roman" w:hAnsi="Times New Roman" w:cs="Times New Roman"/>
          <w:b/>
          <w:bCs/>
          <w:i w:val="0"/>
          <w:iCs w:val="0"/>
          <w:color w:val="auto"/>
          <w:sz w:val="20"/>
          <w:szCs w:val="20"/>
        </w:rPr>
      </w:pPr>
      <w:r w:rsidRPr="009B6B46">
        <w:rPr>
          <w:rFonts w:ascii="Times New Roman" w:hAnsi="Times New Roman" w:cs="Times New Roman"/>
          <w:b/>
          <w:bCs/>
          <w:i w:val="0"/>
          <w:iCs w:val="0"/>
          <w:color w:val="auto"/>
          <w:sz w:val="20"/>
          <w:szCs w:val="20"/>
        </w:rPr>
        <w:t xml:space="preserve">Table </w:t>
      </w:r>
      <w:r w:rsidRPr="009B6B46">
        <w:rPr>
          <w:rFonts w:ascii="Times New Roman" w:hAnsi="Times New Roman" w:cs="Times New Roman"/>
          <w:b/>
          <w:bCs/>
          <w:i w:val="0"/>
          <w:iCs w:val="0"/>
          <w:color w:val="auto"/>
          <w:sz w:val="20"/>
          <w:szCs w:val="20"/>
        </w:rPr>
        <w:fldChar w:fldCharType="begin"/>
      </w:r>
      <w:r w:rsidRPr="009B6B46">
        <w:rPr>
          <w:rFonts w:ascii="Times New Roman" w:hAnsi="Times New Roman" w:cs="Times New Roman"/>
          <w:b/>
          <w:bCs/>
          <w:i w:val="0"/>
          <w:iCs w:val="0"/>
          <w:color w:val="auto"/>
          <w:sz w:val="20"/>
          <w:szCs w:val="20"/>
        </w:rPr>
        <w:instrText xml:space="preserve"> SEQ Table \* ARABIC </w:instrText>
      </w:r>
      <w:r w:rsidRPr="009B6B46">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w:t>
      </w:r>
      <w:r w:rsidRPr="009B6B46">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Statistics of forest cover and treeline locations for historic and new imagery.</w:t>
      </w:r>
    </w:p>
    <w:tbl>
      <w:tblPr>
        <w:tblW w:w="4562" w:type="pct"/>
        <w:jc w:val="center"/>
        <w:tblLayout w:type="fixed"/>
        <w:tblLook w:val="04A0" w:firstRow="1" w:lastRow="0" w:firstColumn="1" w:lastColumn="0" w:noHBand="0" w:noVBand="1"/>
      </w:tblPr>
      <w:tblGrid>
        <w:gridCol w:w="1078"/>
        <w:gridCol w:w="986"/>
        <w:gridCol w:w="1188"/>
        <w:gridCol w:w="1152"/>
        <w:gridCol w:w="1044"/>
        <w:gridCol w:w="897"/>
        <w:gridCol w:w="879"/>
        <w:gridCol w:w="1307"/>
      </w:tblGrid>
      <w:tr w:rsidR="00545D63" w:rsidRPr="00545D63" w14:paraId="7D4D2163" w14:textId="77777777" w:rsidTr="009B6B46">
        <w:trPr>
          <w:trHeight w:val="288"/>
          <w:jc w:val="center"/>
        </w:trPr>
        <w:tc>
          <w:tcPr>
            <w:tcW w:w="632" w:type="pct"/>
            <w:tcBorders>
              <w:top w:val="single" w:sz="4" w:space="0" w:color="auto"/>
              <w:left w:val="single" w:sz="4" w:space="0" w:color="auto"/>
              <w:bottom w:val="single" w:sz="4" w:space="0" w:color="auto"/>
              <w:right w:val="nil"/>
            </w:tcBorders>
            <w:shd w:val="clear" w:color="auto" w:fill="auto"/>
            <w:noWrap/>
            <w:vAlign w:val="center"/>
            <w:hideMark/>
          </w:tcPr>
          <w:p w14:paraId="2D1123EC"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Range</w:t>
            </w:r>
          </w:p>
        </w:tc>
        <w:tc>
          <w:tcPr>
            <w:tcW w:w="578" w:type="pct"/>
            <w:tcBorders>
              <w:top w:val="single" w:sz="4" w:space="0" w:color="auto"/>
              <w:left w:val="nil"/>
              <w:bottom w:val="single" w:sz="4" w:space="0" w:color="auto"/>
              <w:right w:val="nil"/>
            </w:tcBorders>
            <w:shd w:val="clear" w:color="auto" w:fill="auto"/>
            <w:noWrap/>
            <w:vAlign w:val="center"/>
            <w:hideMark/>
          </w:tcPr>
          <w:p w14:paraId="059BF193"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2018 Max Elevation (m)</w:t>
            </w:r>
          </w:p>
        </w:tc>
        <w:tc>
          <w:tcPr>
            <w:tcW w:w="696" w:type="pct"/>
            <w:tcBorders>
              <w:top w:val="single" w:sz="4" w:space="0" w:color="auto"/>
              <w:left w:val="nil"/>
              <w:bottom w:val="single" w:sz="4" w:space="0" w:color="auto"/>
              <w:right w:val="nil"/>
            </w:tcBorders>
            <w:shd w:val="clear" w:color="auto" w:fill="auto"/>
            <w:noWrap/>
            <w:vAlign w:val="center"/>
            <w:hideMark/>
          </w:tcPr>
          <w:p w14:paraId="4A8F49E7"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2018 Min Elevation (m)</w:t>
            </w:r>
          </w:p>
        </w:tc>
        <w:tc>
          <w:tcPr>
            <w:tcW w:w="675" w:type="pct"/>
            <w:tcBorders>
              <w:top w:val="single" w:sz="4" w:space="0" w:color="auto"/>
              <w:left w:val="nil"/>
              <w:bottom w:val="single" w:sz="4" w:space="0" w:color="auto"/>
              <w:right w:val="nil"/>
            </w:tcBorders>
            <w:shd w:val="clear" w:color="auto" w:fill="auto"/>
            <w:noWrap/>
            <w:vAlign w:val="center"/>
            <w:hideMark/>
          </w:tcPr>
          <w:p w14:paraId="7612F0EA"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2018 Mean Elevation (m)</w:t>
            </w:r>
          </w:p>
        </w:tc>
        <w:tc>
          <w:tcPr>
            <w:tcW w:w="612" w:type="pct"/>
            <w:tcBorders>
              <w:top w:val="single" w:sz="4" w:space="0" w:color="auto"/>
              <w:left w:val="nil"/>
              <w:bottom w:val="single" w:sz="4" w:space="0" w:color="auto"/>
              <w:right w:val="nil"/>
            </w:tcBorders>
            <w:shd w:val="clear" w:color="auto" w:fill="auto"/>
            <w:noWrap/>
            <w:vAlign w:val="center"/>
            <w:hideMark/>
          </w:tcPr>
          <w:p w14:paraId="4FB14495"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Historic Max Elevation (m)</w:t>
            </w:r>
          </w:p>
        </w:tc>
        <w:tc>
          <w:tcPr>
            <w:tcW w:w="526" w:type="pct"/>
            <w:tcBorders>
              <w:top w:val="single" w:sz="4" w:space="0" w:color="auto"/>
              <w:left w:val="nil"/>
              <w:bottom w:val="single" w:sz="4" w:space="0" w:color="auto"/>
              <w:right w:val="nil"/>
            </w:tcBorders>
            <w:shd w:val="clear" w:color="auto" w:fill="auto"/>
            <w:noWrap/>
            <w:vAlign w:val="center"/>
            <w:hideMark/>
          </w:tcPr>
          <w:p w14:paraId="5EA0E078"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Historic Min Elevation (m)</w:t>
            </w:r>
          </w:p>
        </w:tc>
        <w:tc>
          <w:tcPr>
            <w:tcW w:w="515" w:type="pct"/>
            <w:tcBorders>
              <w:top w:val="single" w:sz="4" w:space="0" w:color="auto"/>
              <w:left w:val="nil"/>
              <w:bottom w:val="single" w:sz="4" w:space="0" w:color="auto"/>
              <w:right w:val="nil"/>
            </w:tcBorders>
            <w:shd w:val="clear" w:color="auto" w:fill="auto"/>
            <w:noWrap/>
            <w:vAlign w:val="center"/>
            <w:hideMark/>
          </w:tcPr>
          <w:p w14:paraId="5CD03B5A"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Historic Mean Elevation (m)</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3B81CAC8"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Change in Mean Elevation (m)</w:t>
            </w:r>
          </w:p>
        </w:tc>
      </w:tr>
      <w:tr w:rsidR="00545D63" w:rsidRPr="00545D63" w14:paraId="2ED05E62" w14:textId="77777777" w:rsidTr="009B6B46">
        <w:trPr>
          <w:trHeight w:val="288"/>
          <w:jc w:val="center"/>
        </w:trPr>
        <w:tc>
          <w:tcPr>
            <w:tcW w:w="632" w:type="pct"/>
            <w:tcBorders>
              <w:top w:val="nil"/>
              <w:left w:val="single" w:sz="4" w:space="0" w:color="auto"/>
              <w:bottom w:val="nil"/>
              <w:right w:val="nil"/>
            </w:tcBorders>
            <w:shd w:val="clear" w:color="auto" w:fill="auto"/>
            <w:noWrap/>
            <w:vAlign w:val="center"/>
            <w:hideMark/>
          </w:tcPr>
          <w:p w14:paraId="1306BECA"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Presidentials</w:t>
            </w:r>
          </w:p>
        </w:tc>
        <w:tc>
          <w:tcPr>
            <w:tcW w:w="578" w:type="pct"/>
            <w:tcBorders>
              <w:top w:val="nil"/>
              <w:left w:val="nil"/>
              <w:bottom w:val="nil"/>
              <w:right w:val="nil"/>
            </w:tcBorders>
            <w:shd w:val="clear" w:color="auto" w:fill="auto"/>
            <w:noWrap/>
            <w:vAlign w:val="center"/>
            <w:hideMark/>
          </w:tcPr>
          <w:p w14:paraId="04D20D8C"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1769.6</w:t>
            </w:r>
          </w:p>
        </w:tc>
        <w:tc>
          <w:tcPr>
            <w:tcW w:w="696" w:type="pct"/>
            <w:tcBorders>
              <w:top w:val="nil"/>
              <w:left w:val="nil"/>
              <w:bottom w:val="nil"/>
              <w:right w:val="nil"/>
            </w:tcBorders>
            <w:shd w:val="clear" w:color="auto" w:fill="auto"/>
            <w:noWrap/>
            <w:vAlign w:val="center"/>
            <w:hideMark/>
          </w:tcPr>
          <w:p w14:paraId="095E7640"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1111.2</w:t>
            </w:r>
          </w:p>
        </w:tc>
        <w:tc>
          <w:tcPr>
            <w:tcW w:w="675" w:type="pct"/>
            <w:tcBorders>
              <w:top w:val="nil"/>
              <w:left w:val="nil"/>
              <w:bottom w:val="nil"/>
              <w:right w:val="nil"/>
            </w:tcBorders>
            <w:shd w:val="clear" w:color="auto" w:fill="auto"/>
            <w:noWrap/>
            <w:vAlign w:val="center"/>
            <w:hideMark/>
          </w:tcPr>
          <w:p w14:paraId="07EB262F"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1462.8</w:t>
            </w:r>
          </w:p>
        </w:tc>
        <w:tc>
          <w:tcPr>
            <w:tcW w:w="612" w:type="pct"/>
            <w:tcBorders>
              <w:top w:val="nil"/>
              <w:left w:val="nil"/>
              <w:bottom w:val="nil"/>
              <w:right w:val="nil"/>
            </w:tcBorders>
            <w:shd w:val="clear" w:color="auto" w:fill="auto"/>
            <w:noWrap/>
            <w:vAlign w:val="center"/>
            <w:hideMark/>
          </w:tcPr>
          <w:p w14:paraId="63247DA3"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1759.2</w:t>
            </w:r>
          </w:p>
        </w:tc>
        <w:tc>
          <w:tcPr>
            <w:tcW w:w="526" w:type="pct"/>
            <w:tcBorders>
              <w:top w:val="nil"/>
              <w:left w:val="nil"/>
              <w:bottom w:val="nil"/>
              <w:right w:val="nil"/>
            </w:tcBorders>
            <w:shd w:val="clear" w:color="auto" w:fill="auto"/>
            <w:noWrap/>
            <w:vAlign w:val="center"/>
            <w:hideMark/>
          </w:tcPr>
          <w:p w14:paraId="09F4C8A2"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1087.4</w:t>
            </w:r>
          </w:p>
        </w:tc>
        <w:tc>
          <w:tcPr>
            <w:tcW w:w="515" w:type="pct"/>
            <w:tcBorders>
              <w:top w:val="nil"/>
              <w:left w:val="nil"/>
              <w:bottom w:val="nil"/>
              <w:right w:val="nil"/>
            </w:tcBorders>
            <w:shd w:val="clear" w:color="auto" w:fill="auto"/>
            <w:noWrap/>
            <w:vAlign w:val="center"/>
            <w:hideMark/>
          </w:tcPr>
          <w:p w14:paraId="0EC1B058"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1440</w:t>
            </w:r>
          </w:p>
        </w:tc>
        <w:tc>
          <w:tcPr>
            <w:tcW w:w="766" w:type="pct"/>
            <w:tcBorders>
              <w:top w:val="nil"/>
              <w:left w:val="nil"/>
              <w:bottom w:val="nil"/>
              <w:right w:val="single" w:sz="4" w:space="0" w:color="auto"/>
            </w:tcBorders>
            <w:shd w:val="clear" w:color="auto" w:fill="auto"/>
            <w:noWrap/>
            <w:vAlign w:val="center"/>
            <w:hideMark/>
          </w:tcPr>
          <w:p w14:paraId="3796CA01"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22.8</w:t>
            </w:r>
          </w:p>
        </w:tc>
      </w:tr>
      <w:tr w:rsidR="00545D63" w:rsidRPr="00545D63" w14:paraId="12A24BC5" w14:textId="77777777" w:rsidTr="009B6B46">
        <w:trPr>
          <w:trHeight w:val="288"/>
          <w:jc w:val="center"/>
        </w:trPr>
        <w:tc>
          <w:tcPr>
            <w:tcW w:w="632" w:type="pct"/>
            <w:tcBorders>
              <w:top w:val="nil"/>
              <w:left w:val="single" w:sz="4" w:space="0" w:color="auto"/>
              <w:bottom w:val="single" w:sz="4" w:space="0" w:color="auto"/>
              <w:right w:val="nil"/>
            </w:tcBorders>
            <w:shd w:val="clear" w:color="auto" w:fill="auto"/>
            <w:noWrap/>
            <w:vAlign w:val="center"/>
            <w:hideMark/>
          </w:tcPr>
          <w:p w14:paraId="0AC19D29"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Katahdin</w:t>
            </w:r>
          </w:p>
        </w:tc>
        <w:tc>
          <w:tcPr>
            <w:tcW w:w="578" w:type="pct"/>
            <w:tcBorders>
              <w:top w:val="nil"/>
              <w:left w:val="nil"/>
              <w:bottom w:val="single" w:sz="4" w:space="0" w:color="auto"/>
              <w:right w:val="nil"/>
            </w:tcBorders>
            <w:shd w:val="clear" w:color="auto" w:fill="auto"/>
            <w:noWrap/>
            <w:vAlign w:val="center"/>
            <w:hideMark/>
          </w:tcPr>
          <w:p w14:paraId="40B6F347"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1429.1</w:t>
            </w:r>
          </w:p>
        </w:tc>
        <w:tc>
          <w:tcPr>
            <w:tcW w:w="696" w:type="pct"/>
            <w:tcBorders>
              <w:top w:val="nil"/>
              <w:left w:val="nil"/>
              <w:bottom w:val="single" w:sz="4" w:space="0" w:color="auto"/>
              <w:right w:val="nil"/>
            </w:tcBorders>
            <w:shd w:val="clear" w:color="auto" w:fill="auto"/>
            <w:noWrap/>
            <w:vAlign w:val="center"/>
            <w:hideMark/>
          </w:tcPr>
          <w:p w14:paraId="459FCC46"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732.7</w:t>
            </w:r>
          </w:p>
        </w:tc>
        <w:tc>
          <w:tcPr>
            <w:tcW w:w="675" w:type="pct"/>
            <w:tcBorders>
              <w:top w:val="nil"/>
              <w:left w:val="nil"/>
              <w:bottom w:val="single" w:sz="4" w:space="0" w:color="auto"/>
              <w:right w:val="nil"/>
            </w:tcBorders>
            <w:shd w:val="clear" w:color="auto" w:fill="auto"/>
            <w:noWrap/>
            <w:vAlign w:val="center"/>
            <w:hideMark/>
          </w:tcPr>
          <w:p w14:paraId="1E6C7F56"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1157.1</w:t>
            </w:r>
          </w:p>
        </w:tc>
        <w:tc>
          <w:tcPr>
            <w:tcW w:w="612" w:type="pct"/>
            <w:tcBorders>
              <w:top w:val="nil"/>
              <w:left w:val="nil"/>
              <w:bottom w:val="single" w:sz="4" w:space="0" w:color="auto"/>
              <w:right w:val="nil"/>
            </w:tcBorders>
            <w:shd w:val="clear" w:color="auto" w:fill="auto"/>
            <w:noWrap/>
            <w:vAlign w:val="center"/>
            <w:hideMark/>
          </w:tcPr>
          <w:p w14:paraId="435DBAEB"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1410.8</w:t>
            </w:r>
          </w:p>
        </w:tc>
        <w:tc>
          <w:tcPr>
            <w:tcW w:w="526" w:type="pct"/>
            <w:tcBorders>
              <w:top w:val="nil"/>
              <w:left w:val="nil"/>
              <w:bottom w:val="single" w:sz="4" w:space="0" w:color="auto"/>
              <w:right w:val="nil"/>
            </w:tcBorders>
            <w:shd w:val="clear" w:color="auto" w:fill="auto"/>
            <w:noWrap/>
            <w:vAlign w:val="center"/>
            <w:hideMark/>
          </w:tcPr>
          <w:p w14:paraId="7DD89771"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732.7</w:t>
            </w:r>
          </w:p>
        </w:tc>
        <w:tc>
          <w:tcPr>
            <w:tcW w:w="515" w:type="pct"/>
            <w:tcBorders>
              <w:top w:val="nil"/>
              <w:left w:val="nil"/>
              <w:bottom w:val="single" w:sz="4" w:space="0" w:color="auto"/>
              <w:right w:val="nil"/>
            </w:tcBorders>
            <w:shd w:val="clear" w:color="auto" w:fill="auto"/>
            <w:noWrap/>
            <w:vAlign w:val="center"/>
            <w:hideMark/>
          </w:tcPr>
          <w:p w14:paraId="7936D497"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1152.2</w:t>
            </w:r>
          </w:p>
        </w:tc>
        <w:tc>
          <w:tcPr>
            <w:tcW w:w="766" w:type="pct"/>
            <w:tcBorders>
              <w:top w:val="nil"/>
              <w:left w:val="nil"/>
              <w:bottom w:val="single" w:sz="4" w:space="0" w:color="auto"/>
              <w:right w:val="single" w:sz="4" w:space="0" w:color="auto"/>
            </w:tcBorders>
            <w:shd w:val="clear" w:color="auto" w:fill="auto"/>
            <w:noWrap/>
            <w:vAlign w:val="center"/>
            <w:hideMark/>
          </w:tcPr>
          <w:p w14:paraId="47869F83"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4.9</w:t>
            </w:r>
          </w:p>
        </w:tc>
      </w:tr>
    </w:tbl>
    <w:p w14:paraId="08A0DE17" w14:textId="4FB62D1F" w:rsidR="00545D63" w:rsidRDefault="00545D63" w:rsidP="001634E7">
      <w:pPr>
        <w:spacing w:line="360" w:lineRule="auto"/>
        <w:rPr>
          <w:rFonts w:ascii="Times New Roman" w:hAnsi="Times New Roman" w:cs="Times New Roman"/>
          <w:b/>
        </w:rPr>
      </w:pPr>
    </w:p>
    <w:p w14:paraId="1AEDD6FB" w14:textId="77777777" w:rsidR="00F47CBB" w:rsidRDefault="00F47CBB" w:rsidP="001634E7">
      <w:pPr>
        <w:spacing w:line="360" w:lineRule="auto"/>
        <w:rPr>
          <w:rFonts w:ascii="Times New Roman" w:hAnsi="Times New Roman" w:cs="Times New Roman"/>
          <w:b/>
        </w:rPr>
      </w:pPr>
    </w:p>
    <w:p w14:paraId="092DFED5" w14:textId="4A66FEC0" w:rsidR="009B6B46" w:rsidRPr="009B6B46" w:rsidRDefault="009B6B46" w:rsidP="009B6B46">
      <w:pPr>
        <w:pStyle w:val="Caption"/>
        <w:keepNext/>
        <w:jc w:val="center"/>
        <w:rPr>
          <w:rFonts w:ascii="Times New Roman" w:hAnsi="Times New Roman" w:cs="Times New Roman"/>
          <w:b/>
          <w:bCs/>
          <w:i w:val="0"/>
          <w:iCs w:val="0"/>
          <w:color w:val="auto"/>
          <w:sz w:val="20"/>
          <w:szCs w:val="20"/>
        </w:rPr>
      </w:pPr>
      <w:r w:rsidRPr="009B6B46">
        <w:rPr>
          <w:rFonts w:ascii="Times New Roman" w:hAnsi="Times New Roman" w:cs="Times New Roman"/>
          <w:b/>
          <w:bCs/>
          <w:i w:val="0"/>
          <w:iCs w:val="0"/>
          <w:color w:val="auto"/>
          <w:sz w:val="20"/>
          <w:szCs w:val="20"/>
        </w:rPr>
        <w:t xml:space="preserve">Table </w:t>
      </w:r>
      <w:r w:rsidRPr="009B6B46">
        <w:rPr>
          <w:rFonts w:ascii="Times New Roman" w:hAnsi="Times New Roman" w:cs="Times New Roman"/>
          <w:b/>
          <w:bCs/>
          <w:i w:val="0"/>
          <w:iCs w:val="0"/>
          <w:color w:val="auto"/>
          <w:sz w:val="20"/>
          <w:szCs w:val="20"/>
        </w:rPr>
        <w:fldChar w:fldCharType="begin"/>
      </w:r>
      <w:r w:rsidRPr="009B6B46">
        <w:rPr>
          <w:rFonts w:ascii="Times New Roman" w:hAnsi="Times New Roman" w:cs="Times New Roman"/>
          <w:b/>
          <w:bCs/>
          <w:i w:val="0"/>
          <w:iCs w:val="0"/>
          <w:color w:val="auto"/>
          <w:sz w:val="20"/>
          <w:szCs w:val="20"/>
        </w:rPr>
        <w:instrText xml:space="preserve"> SEQ Table \* ARABIC </w:instrText>
      </w:r>
      <w:r w:rsidRPr="009B6B46">
        <w:rPr>
          <w:rFonts w:ascii="Times New Roman" w:hAnsi="Times New Roman" w:cs="Times New Roman"/>
          <w:b/>
          <w:bCs/>
          <w:i w:val="0"/>
          <w:iCs w:val="0"/>
          <w:color w:val="auto"/>
          <w:sz w:val="20"/>
          <w:szCs w:val="20"/>
        </w:rPr>
        <w:fldChar w:fldCharType="separate"/>
      </w:r>
      <w:r w:rsidRPr="009B6B46">
        <w:rPr>
          <w:rFonts w:ascii="Times New Roman" w:hAnsi="Times New Roman" w:cs="Times New Roman"/>
          <w:b/>
          <w:bCs/>
          <w:i w:val="0"/>
          <w:iCs w:val="0"/>
          <w:noProof/>
          <w:color w:val="auto"/>
          <w:sz w:val="20"/>
          <w:szCs w:val="20"/>
        </w:rPr>
        <w:t>2</w:t>
      </w:r>
      <w:r w:rsidRPr="009B6B46">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Statistics of treeline elevation based on randomly distributed sampling points for historic and new imagery. </w:t>
      </w:r>
    </w:p>
    <w:tbl>
      <w:tblPr>
        <w:tblW w:w="5198" w:type="pct"/>
        <w:jc w:val="center"/>
        <w:tblLayout w:type="fixed"/>
        <w:tblLook w:val="04A0" w:firstRow="1" w:lastRow="0" w:firstColumn="1" w:lastColumn="0" w:noHBand="0" w:noVBand="1"/>
      </w:tblPr>
      <w:tblGrid>
        <w:gridCol w:w="1147"/>
        <w:gridCol w:w="74"/>
        <w:gridCol w:w="1102"/>
        <w:gridCol w:w="47"/>
        <w:gridCol w:w="1532"/>
        <w:gridCol w:w="47"/>
        <w:gridCol w:w="1847"/>
        <w:gridCol w:w="47"/>
        <w:gridCol w:w="1328"/>
        <w:gridCol w:w="47"/>
        <w:gridCol w:w="2453"/>
        <w:gridCol w:w="49"/>
      </w:tblGrid>
      <w:tr w:rsidR="009B6B46" w:rsidRPr="00545D63" w14:paraId="4E8300B9" w14:textId="77777777" w:rsidTr="009B6B46">
        <w:trPr>
          <w:gridAfter w:val="1"/>
          <w:wAfter w:w="25" w:type="pct"/>
          <w:trHeight w:val="288"/>
          <w:jc w:val="center"/>
        </w:trPr>
        <w:tc>
          <w:tcPr>
            <w:tcW w:w="628" w:type="pct"/>
            <w:gridSpan w:val="2"/>
            <w:tcBorders>
              <w:top w:val="single" w:sz="4" w:space="0" w:color="auto"/>
              <w:left w:val="single" w:sz="4" w:space="0" w:color="auto"/>
              <w:bottom w:val="single" w:sz="4" w:space="0" w:color="auto"/>
              <w:right w:val="nil"/>
            </w:tcBorders>
            <w:shd w:val="clear" w:color="auto" w:fill="auto"/>
            <w:noWrap/>
            <w:vAlign w:val="center"/>
            <w:hideMark/>
          </w:tcPr>
          <w:p w14:paraId="42094D11"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Range</w:t>
            </w:r>
          </w:p>
        </w:tc>
        <w:tc>
          <w:tcPr>
            <w:tcW w:w="567" w:type="pct"/>
            <w:tcBorders>
              <w:top w:val="single" w:sz="4" w:space="0" w:color="auto"/>
              <w:left w:val="nil"/>
              <w:bottom w:val="single" w:sz="4" w:space="0" w:color="auto"/>
              <w:right w:val="nil"/>
            </w:tcBorders>
            <w:shd w:val="clear" w:color="auto" w:fill="auto"/>
            <w:noWrap/>
            <w:vAlign w:val="center"/>
            <w:hideMark/>
          </w:tcPr>
          <w:p w14:paraId="79DE5259"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Elevation Change (m ±SE)</w:t>
            </w:r>
          </w:p>
        </w:tc>
        <w:tc>
          <w:tcPr>
            <w:tcW w:w="812" w:type="pct"/>
            <w:gridSpan w:val="2"/>
            <w:tcBorders>
              <w:top w:val="single" w:sz="4" w:space="0" w:color="auto"/>
              <w:left w:val="nil"/>
              <w:bottom w:val="single" w:sz="4" w:space="0" w:color="auto"/>
              <w:right w:val="nil"/>
            </w:tcBorders>
            <w:shd w:val="clear" w:color="auto" w:fill="auto"/>
            <w:noWrap/>
            <w:vAlign w:val="center"/>
            <w:hideMark/>
          </w:tcPr>
          <w:p w14:paraId="610A23FB"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Area Above Treeline (ha, 2018)</w:t>
            </w:r>
          </w:p>
        </w:tc>
        <w:tc>
          <w:tcPr>
            <w:tcW w:w="974" w:type="pct"/>
            <w:gridSpan w:val="2"/>
            <w:tcBorders>
              <w:top w:val="single" w:sz="4" w:space="0" w:color="auto"/>
              <w:left w:val="nil"/>
              <w:bottom w:val="single" w:sz="4" w:space="0" w:color="auto"/>
              <w:right w:val="nil"/>
            </w:tcBorders>
            <w:shd w:val="clear" w:color="auto" w:fill="auto"/>
            <w:noWrap/>
            <w:vAlign w:val="center"/>
            <w:hideMark/>
          </w:tcPr>
          <w:p w14:paraId="5D133391"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Area Above Treeline (ha, Historic)</w:t>
            </w:r>
          </w:p>
        </w:tc>
        <w:tc>
          <w:tcPr>
            <w:tcW w:w="707" w:type="pct"/>
            <w:gridSpan w:val="2"/>
            <w:tcBorders>
              <w:top w:val="single" w:sz="4" w:space="0" w:color="auto"/>
              <w:left w:val="nil"/>
              <w:bottom w:val="single" w:sz="4" w:space="0" w:color="auto"/>
              <w:right w:val="nil"/>
            </w:tcBorders>
            <w:shd w:val="clear" w:color="auto" w:fill="auto"/>
            <w:noWrap/>
            <w:vAlign w:val="center"/>
            <w:hideMark/>
          </w:tcPr>
          <w:p w14:paraId="44AE2448"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Area of Forest Gained (ha)</w:t>
            </w:r>
          </w:p>
        </w:tc>
        <w:tc>
          <w:tcPr>
            <w:tcW w:w="12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67B2B97E" w14:textId="77777777" w:rsidR="00545D63" w:rsidRPr="00545D63" w:rsidRDefault="00545D63" w:rsidP="00545D63">
            <w:pPr>
              <w:jc w:val="center"/>
              <w:rPr>
                <w:rFonts w:ascii="Times New Roman" w:eastAsia="Times New Roman" w:hAnsi="Times New Roman" w:cs="Times New Roman"/>
                <w:b/>
                <w:bCs/>
                <w:color w:val="000000"/>
                <w:sz w:val="16"/>
                <w:szCs w:val="16"/>
              </w:rPr>
            </w:pPr>
            <w:r w:rsidRPr="00545D63">
              <w:rPr>
                <w:rFonts w:ascii="Times New Roman" w:eastAsia="Times New Roman" w:hAnsi="Times New Roman" w:cs="Times New Roman"/>
                <w:b/>
                <w:bCs/>
                <w:color w:val="000000"/>
                <w:sz w:val="16"/>
                <w:szCs w:val="16"/>
              </w:rPr>
              <w:t>Area of Forest Gained (% of Total from Historic Imagery)</w:t>
            </w:r>
          </w:p>
        </w:tc>
      </w:tr>
      <w:tr w:rsidR="00545D63" w:rsidRPr="00545D63" w14:paraId="309897C1" w14:textId="77777777" w:rsidTr="009B6B46">
        <w:trPr>
          <w:trHeight w:val="288"/>
          <w:jc w:val="center"/>
        </w:trPr>
        <w:tc>
          <w:tcPr>
            <w:tcW w:w="590" w:type="pct"/>
            <w:tcBorders>
              <w:top w:val="nil"/>
              <w:left w:val="single" w:sz="4" w:space="0" w:color="auto"/>
              <w:bottom w:val="nil"/>
              <w:right w:val="nil"/>
            </w:tcBorders>
            <w:shd w:val="clear" w:color="auto" w:fill="auto"/>
            <w:noWrap/>
            <w:vAlign w:val="center"/>
            <w:hideMark/>
          </w:tcPr>
          <w:p w14:paraId="12BF8CE8"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Presidentials</w:t>
            </w:r>
          </w:p>
        </w:tc>
        <w:tc>
          <w:tcPr>
            <w:tcW w:w="629" w:type="pct"/>
            <w:gridSpan w:val="3"/>
            <w:tcBorders>
              <w:top w:val="nil"/>
              <w:left w:val="nil"/>
              <w:bottom w:val="nil"/>
              <w:right w:val="nil"/>
            </w:tcBorders>
            <w:shd w:val="clear" w:color="auto" w:fill="auto"/>
            <w:noWrap/>
            <w:vAlign w:val="center"/>
            <w:hideMark/>
          </w:tcPr>
          <w:p w14:paraId="598D4FA2"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11.77±1.65</w:t>
            </w:r>
          </w:p>
        </w:tc>
        <w:tc>
          <w:tcPr>
            <w:tcW w:w="812" w:type="pct"/>
            <w:gridSpan w:val="2"/>
            <w:tcBorders>
              <w:top w:val="nil"/>
              <w:left w:val="nil"/>
              <w:bottom w:val="nil"/>
              <w:right w:val="nil"/>
            </w:tcBorders>
            <w:shd w:val="clear" w:color="auto" w:fill="auto"/>
            <w:noWrap/>
            <w:vAlign w:val="center"/>
            <w:hideMark/>
          </w:tcPr>
          <w:p w14:paraId="1D34F244"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1536.6</w:t>
            </w:r>
          </w:p>
        </w:tc>
        <w:tc>
          <w:tcPr>
            <w:tcW w:w="974" w:type="pct"/>
            <w:gridSpan w:val="2"/>
            <w:tcBorders>
              <w:top w:val="nil"/>
              <w:left w:val="nil"/>
              <w:bottom w:val="nil"/>
              <w:right w:val="nil"/>
            </w:tcBorders>
            <w:shd w:val="clear" w:color="auto" w:fill="auto"/>
            <w:noWrap/>
            <w:vAlign w:val="center"/>
            <w:hideMark/>
          </w:tcPr>
          <w:p w14:paraId="133ECA36"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1789.4</w:t>
            </w:r>
          </w:p>
        </w:tc>
        <w:tc>
          <w:tcPr>
            <w:tcW w:w="707" w:type="pct"/>
            <w:gridSpan w:val="2"/>
            <w:tcBorders>
              <w:top w:val="nil"/>
              <w:left w:val="nil"/>
              <w:bottom w:val="nil"/>
              <w:right w:val="nil"/>
            </w:tcBorders>
            <w:shd w:val="clear" w:color="auto" w:fill="auto"/>
            <w:noWrap/>
            <w:vAlign w:val="center"/>
            <w:hideMark/>
          </w:tcPr>
          <w:p w14:paraId="6AE0333C"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252.8</w:t>
            </w:r>
          </w:p>
        </w:tc>
        <w:tc>
          <w:tcPr>
            <w:tcW w:w="1287" w:type="pct"/>
            <w:gridSpan w:val="2"/>
            <w:tcBorders>
              <w:top w:val="nil"/>
              <w:left w:val="nil"/>
              <w:bottom w:val="nil"/>
              <w:right w:val="single" w:sz="4" w:space="0" w:color="auto"/>
            </w:tcBorders>
            <w:shd w:val="clear" w:color="auto" w:fill="auto"/>
            <w:noWrap/>
            <w:vAlign w:val="center"/>
            <w:hideMark/>
          </w:tcPr>
          <w:p w14:paraId="361A78C9"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14.13</w:t>
            </w:r>
          </w:p>
        </w:tc>
      </w:tr>
      <w:tr w:rsidR="00545D63" w:rsidRPr="00545D63" w14:paraId="0ECA1862" w14:textId="77777777" w:rsidTr="009B6B46">
        <w:trPr>
          <w:trHeight w:val="288"/>
          <w:jc w:val="center"/>
        </w:trPr>
        <w:tc>
          <w:tcPr>
            <w:tcW w:w="590" w:type="pct"/>
            <w:tcBorders>
              <w:top w:val="nil"/>
              <w:left w:val="single" w:sz="4" w:space="0" w:color="auto"/>
              <w:bottom w:val="single" w:sz="4" w:space="0" w:color="auto"/>
              <w:right w:val="nil"/>
            </w:tcBorders>
            <w:shd w:val="clear" w:color="auto" w:fill="auto"/>
            <w:noWrap/>
            <w:vAlign w:val="center"/>
            <w:hideMark/>
          </w:tcPr>
          <w:p w14:paraId="69028DB2"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Katahdin</w:t>
            </w:r>
          </w:p>
        </w:tc>
        <w:tc>
          <w:tcPr>
            <w:tcW w:w="629" w:type="pct"/>
            <w:gridSpan w:val="3"/>
            <w:tcBorders>
              <w:top w:val="nil"/>
              <w:left w:val="nil"/>
              <w:bottom w:val="single" w:sz="4" w:space="0" w:color="auto"/>
              <w:right w:val="nil"/>
            </w:tcBorders>
            <w:shd w:val="clear" w:color="auto" w:fill="auto"/>
            <w:noWrap/>
            <w:vAlign w:val="center"/>
            <w:hideMark/>
          </w:tcPr>
          <w:p w14:paraId="2202C38D"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8.39±11.12</w:t>
            </w:r>
          </w:p>
        </w:tc>
        <w:tc>
          <w:tcPr>
            <w:tcW w:w="812" w:type="pct"/>
            <w:gridSpan w:val="2"/>
            <w:tcBorders>
              <w:top w:val="nil"/>
              <w:left w:val="nil"/>
              <w:bottom w:val="single" w:sz="4" w:space="0" w:color="auto"/>
              <w:right w:val="nil"/>
            </w:tcBorders>
            <w:shd w:val="clear" w:color="auto" w:fill="auto"/>
            <w:noWrap/>
            <w:vAlign w:val="center"/>
            <w:hideMark/>
          </w:tcPr>
          <w:p w14:paraId="5F14C28D"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1008.7</w:t>
            </w:r>
          </w:p>
        </w:tc>
        <w:tc>
          <w:tcPr>
            <w:tcW w:w="974" w:type="pct"/>
            <w:gridSpan w:val="2"/>
            <w:tcBorders>
              <w:top w:val="nil"/>
              <w:left w:val="nil"/>
              <w:bottom w:val="single" w:sz="4" w:space="0" w:color="auto"/>
              <w:right w:val="nil"/>
            </w:tcBorders>
            <w:shd w:val="clear" w:color="auto" w:fill="auto"/>
            <w:noWrap/>
            <w:vAlign w:val="center"/>
            <w:hideMark/>
          </w:tcPr>
          <w:p w14:paraId="3A787C41"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1016.7</w:t>
            </w:r>
          </w:p>
        </w:tc>
        <w:tc>
          <w:tcPr>
            <w:tcW w:w="707" w:type="pct"/>
            <w:gridSpan w:val="2"/>
            <w:tcBorders>
              <w:top w:val="nil"/>
              <w:left w:val="nil"/>
              <w:bottom w:val="single" w:sz="4" w:space="0" w:color="auto"/>
              <w:right w:val="nil"/>
            </w:tcBorders>
            <w:shd w:val="clear" w:color="auto" w:fill="auto"/>
            <w:noWrap/>
            <w:vAlign w:val="center"/>
            <w:hideMark/>
          </w:tcPr>
          <w:p w14:paraId="3B43AC12"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8.0</w:t>
            </w:r>
          </w:p>
        </w:tc>
        <w:tc>
          <w:tcPr>
            <w:tcW w:w="1287" w:type="pct"/>
            <w:gridSpan w:val="2"/>
            <w:tcBorders>
              <w:top w:val="nil"/>
              <w:left w:val="nil"/>
              <w:bottom w:val="single" w:sz="4" w:space="0" w:color="auto"/>
              <w:right w:val="single" w:sz="4" w:space="0" w:color="auto"/>
            </w:tcBorders>
            <w:shd w:val="clear" w:color="auto" w:fill="auto"/>
            <w:noWrap/>
            <w:vAlign w:val="center"/>
            <w:hideMark/>
          </w:tcPr>
          <w:p w14:paraId="2E2CFBF1" w14:textId="77777777" w:rsidR="00545D63" w:rsidRPr="00545D63" w:rsidRDefault="00545D63" w:rsidP="00545D63">
            <w:pPr>
              <w:jc w:val="center"/>
              <w:rPr>
                <w:rFonts w:ascii="Times New Roman" w:eastAsia="Times New Roman" w:hAnsi="Times New Roman" w:cs="Times New Roman"/>
                <w:color w:val="000000"/>
                <w:sz w:val="16"/>
                <w:szCs w:val="16"/>
              </w:rPr>
            </w:pPr>
            <w:r w:rsidRPr="00545D63">
              <w:rPr>
                <w:rFonts w:ascii="Times New Roman" w:eastAsia="Times New Roman" w:hAnsi="Times New Roman" w:cs="Times New Roman"/>
                <w:color w:val="000000"/>
                <w:sz w:val="16"/>
                <w:szCs w:val="16"/>
              </w:rPr>
              <w:t>0.79</w:t>
            </w:r>
          </w:p>
        </w:tc>
      </w:tr>
    </w:tbl>
    <w:p w14:paraId="56B15F58" w14:textId="77777777" w:rsidR="00545D63" w:rsidRDefault="00545D63" w:rsidP="001634E7">
      <w:pPr>
        <w:spacing w:line="360" w:lineRule="auto"/>
        <w:rPr>
          <w:rFonts w:ascii="Times New Roman" w:hAnsi="Times New Roman" w:cs="Times New Roman"/>
          <w:b/>
        </w:rPr>
      </w:pPr>
    </w:p>
    <w:p w14:paraId="4F89FF45" w14:textId="77777777" w:rsidR="00CC1F88" w:rsidRDefault="009B6B46" w:rsidP="00CC1F88">
      <w:pPr>
        <w:keepNext/>
        <w:spacing w:line="360" w:lineRule="auto"/>
        <w:jc w:val="center"/>
      </w:pPr>
      <w:r>
        <w:rPr>
          <w:noProof/>
        </w:rPr>
        <w:drawing>
          <wp:inline distT="0" distB="0" distL="0" distR="0" wp14:anchorId="6151A5D0" wp14:editId="7BD5DAC9">
            <wp:extent cx="3783330" cy="2705248"/>
            <wp:effectExtent l="19050" t="19050" r="26670" b="19050"/>
            <wp:docPr id="5" name="Picture 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radar chart&#10;&#10;Description automatically generated"/>
                    <pic:cNvPicPr/>
                  </pic:nvPicPr>
                  <pic:blipFill rotWithShape="1">
                    <a:blip r:embed="rId7"/>
                    <a:srcRect l="22949" t="12718" r="4615" b="9427"/>
                    <a:stretch/>
                  </pic:blipFill>
                  <pic:spPr bwMode="auto">
                    <a:xfrm>
                      <a:off x="0" y="0"/>
                      <a:ext cx="3787296" cy="27080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942CB9" w14:textId="325A8975" w:rsidR="009B6B46" w:rsidRPr="00CC1F88" w:rsidRDefault="00CC1F88" w:rsidP="00CC1F88">
      <w:pPr>
        <w:pStyle w:val="Caption"/>
        <w:jc w:val="center"/>
        <w:rPr>
          <w:rFonts w:ascii="Times New Roman" w:hAnsi="Times New Roman" w:cs="Times New Roman"/>
          <w:b/>
          <w:bCs/>
          <w:i w:val="0"/>
          <w:iCs w:val="0"/>
          <w:color w:val="auto"/>
          <w:sz w:val="20"/>
          <w:szCs w:val="20"/>
        </w:rPr>
      </w:pPr>
      <w:r w:rsidRPr="00CC1F88">
        <w:rPr>
          <w:rFonts w:ascii="Times New Roman" w:hAnsi="Times New Roman" w:cs="Times New Roman"/>
          <w:b/>
          <w:bCs/>
          <w:i w:val="0"/>
          <w:iCs w:val="0"/>
          <w:color w:val="auto"/>
          <w:sz w:val="20"/>
          <w:szCs w:val="20"/>
        </w:rPr>
        <w:t xml:space="preserve">Figure </w:t>
      </w:r>
      <w:r w:rsidRPr="00CC1F88">
        <w:rPr>
          <w:rFonts w:ascii="Times New Roman" w:hAnsi="Times New Roman" w:cs="Times New Roman"/>
          <w:b/>
          <w:bCs/>
          <w:i w:val="0"/>
          <w:iCs w:val="0"/>
          <w:color w:val="auto"/>
          <w:sz w:val="20"/>
          <w:szCs w:val="20"/>
        </w:rPr>
        <w:fldChar w:fldCharType="begin"/>
      </w:r>
      <w:r w:rsidRPr="00CC1F88">
        <w:rPr>
          <w:rFonts w:ascii="Times New Roman" w:hAnsi="Times New Roman" w:cs="Times New Roman"/>
          <w:b/>
          <w:bCs/>
          <w:i w:val="0"/>
          <w:iCs w:val="0"/>
          <w:color w:val="auto"/>
          <w:sz w:val="20"/>
          <w:szCs w:val="20"/>
        </w:rPr>
        <w:instrText xml:space="preserve"> SEQ Figure \* ARABIC </w:instrText>
      </w:r>
      <w:r w:rsidRPr="00CC1F88">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3</w:t>
      </w:r>
      <w:r w:rsidRPr="00CC1F88">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Radar plot of treeline elevation change by aspect (direction slope faces). </w:t>
      </w:r>
    </w:p>
    <w:p w14:paraId="43B1D495" w14:textId="77777777" w:rsidR="009B6B46" w:rsidRDefault="009B6B46" w:rsidP="009B6B46">
      <w:pPr>
        <w:spacing w:line="360" w:lineRule="auto"/>
        <w:jc w:val="center"/>
        <w:rPr>
          <w:rFonts w:ascii="Times New Roman" w:hAnsi="Times New Roman" w:cs="Times New Roman"/>
          <w:b/>
        </w:rPr>
      </w:pPr>
    </w:p>
    <w:p w14:paraId="37FBC711" w14:textId="77777777" w:rsidR="00CC1F88" w:rsidRDefault="009B6B46" w:rsidP="00CC1F88">
      <w:pPr>
        <w:keepNext/>
        <w:spacing w:line="360" w:lineRule="auto"/>
        <w:jc w:val="center"/>
      </w:pPr>
      <w:r>
        <w:rPr>
          <w:noProof/>
        </w:rPr>
        <w:drawing>
          <wp:inline distT="0" distB="0" distL="0" distR="0" wp14:anchorId="7D8D11D9" wp14:editId="4D5AFF0A">
            <wp:extent cx="4152789" cy="2762758"/>
            <wp:effectExtent l="0" t="0" r="635"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8"/>
                    <a:stretch>
                      <a:fillRect/>
                    </a:stretch>
                  </pic:blipFill>
                  <pic:spPr>
                    <a:xfrm>
                      <a:off x="0" y="0"/>
                      <a:ext cx="4161976" cy="2768870"/>
                    </a:xfrm>
                    <a:prstGeom prst="rect">
                      <a:avLst/>
                    </a:prstGeom>
                  </pic:spPr>
                </pic:pic>
              </a:graphicData>
            </a:graphic>
          </wp:inline>
        </w:drawing>
      </w:r>
    </w:p>
    <w:p w14:paraId="64B39BDA" w14:textId="3B8E47A6" w:rsidR="00C81D34" w:rsidRPr="00CC1F88" w:rsidRDefault="00CC1F88" w:rsidP="00CC1F88">
      <w:pPr>
        <w:pStyle w:val="Caption"/>
        <w:jc w:val="center"/>
        <w:rPr>
          <w:rFonts w:ascii="Times New Roman" w:hAnsi="Times New Roman" w:cs="Times New Roman"/>
          <w:b/>
          <w:bCs/>
          <w:i w:val="0"/>
          <w:iCs w:val="0"/>
          <w:color w:val="auto"/>
          <w:sz w:val="20"/>
          <w:szCs w:val="20"/>
        </w:rPr>
      </w:pPr>
      <w:r w:rsidRPr="00CC1F88">
        <w:rPr>
          <w:rFonts w:ascii="Times New Roman" w:hAnsi="Times New Roman" w:cs="Times New Roman"/>
          <w:b/>
          <w:bCs/>
          <w:i w:val="0"/>
          <w:iCs w:val="0"/>
          <w:color w:val="auto"/>
          <w:sz w:val="20"/>
          <w:szCs w:val="20"/>
        </w:rPr>
        <w:t xml:space="preserve">Figure </w:t>
      </w:r>
      <w:r w:rsidRPr="00CC1F88">
        <w:rPr>
          <w:rFonts w:ascii="Times New Roman" w:hAnsi="Times New Roman" w:cs="Times New Roman"/>
          <w:b/>
          <w:bCs/>
          <w:i w:val="0"/>
          <w:iCs w:val="0"/>
          <w:color w:val="auto"/>
          <w:sz w:val="20"/>
          <w:szCs w:val="20"/>
        </w:rPr>
        <w:fldChar w:fldCharType="begin"/>
      </w:r>
      <w:r w:rsidRPr="00CC1F88">
        <w:rPr>
          <w:rFonts w:ascii="Times New Roman" w:hAnsi="Times New Roman" w:cs="Times New Roman"/>
          <w:b/>
          <w:bCs/>
          <w:i w:val="0"/>
          <w:iCs w:val="0"/>
          <w:color w:val="auto"/>
          <w:sz w:val="20"/>
          <w:szCs w:val="20"/>
        </w:rPr>
        <w:instrText xml:space="preserve"> SEQ Figure \* ARABIC </w:instrText>
      </w:r>
      <w:r w:rsidRPr="00CC1F88">
        <w:rPr>
          <w:rFonts w:ascii="Times New Roman" w:hAnsi="Times New Roman" w:cs="Times New Roman"/>
          <w:b/>
          <w:bCs/>
          <w:i w:val="0"/>
          <w:iCs w:val="0"/>
          <w:color w:val="auto"/>
          <w:sz w:val="20"/>
          <w:szCs w:val="20"/>
        </w:rPr>
        <w:fldChar w:fldCharType="separate"/>
      </w:r>
      <w:r w:rsidRPr="00CC1F88">
        <w:rPr>
          <w:rFonts w:ascii="Times New Roman" w:hAnsi="Times New Roman" w:cs="Times New Roman"/>
          <w:b/>
          <w:bCs/>
          <w:i w:val="0"/>
          <w:iCs w:val="0"/>
          <w:noProof/>
          <w:color w:val="auto"/>
          <w:sz w:val="20"/>
          <w:szCs w:val="20"/>
        </w:rPr>
        <w:t>4</w:t>
      </w:r>
      <w:r w:rsidRPr="00CC1F88">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Positive linear relationship between tree density at treeline and soil depth to bedrock (Presidentials: R</w:t>
      </w:r>
      <w:r>
        <w:rPr>
          <w:rFonts w:ascii="Times New Roman" w:hAnsi="Times New Roman" w:cs="Times New Roman"/>
          <w:b/>
          <w:bCs/>
          <w:i w:val="0"/>
          <w:iCs w:val="0"/>
          <w:color w:val="auto"/>
          <w:sz w:val="20"/>
          <w:szCs w:val="20"/>
          <w:vertAlign w:val="superscript"/>
        </w:rPr>
        <w:t>2</w:t>
      </w:r>
      <w:r>
        <w:rPr>
          <w:rFonts w:ascii="Times New Roman" w:hAnsi="Times New Roman" w:cs="Times New Roman"/>
          <w:b/>
          <w:bCs/>
          <w:i w:val="0"/>
          <w:iCs w:val="0"/>
          <w:color w:val="auto"/>
          <w:sz w:val="20"/>
          <w:szCs w:val="20"/>
        </w:rPr>
        <w:t xml:space="preserve"> = 0.95, p &lt; 0.001; Katahdin: </w:t>
      </w:r>
      <w:r>
        <w:rPr>
          <w:rFonts w:ascii="Times New Roman" w:hAnsi="Times New Roman" w:cs="Times New Roman"/>
          <w:b/>
          <w:bCs/>
          <w:i w:val="0"/>
          <w:iCs w:val="0"/>
          <w:color w:val="auto"/>
          <w:sz w:val="20"/>
          <w:szCs w:val="20"/>
        </w:rPr>
        <w:t>R</w:t>
      </w:r>
      <w:r>
        <w:rPr>
          <w:rFonts w:ascii="Times New Roman" w:hAnsi="Times New Roman" w:cs="Times New Roman"/>
          <w:b/>
          <w:bCs/>
          <w:i w:val="0"/>
          <w:iCs w:val="0"/>
          <w:color w:val="auto"/>
          <w:sz w:val="20"/>
          <w:szCs w:val="20"/>
          <w:vertAlign w:val="superscript"/>
        </w:rPr>
        <w:t>2</w:t>
      </w:r>
      <w:r>
        <w:rPr>
          <w:rFonts w:ascii="Times New Roman" w:hAnsi="Times New Roman" w:cs="Times New Roman"/>
          <w:b/>
          <w:bCs/>
          <w:i w:val="0"/>
          <w:iCs w:val="0"/>
          <w:color w:val="auto"/>
          <w:sz w:val="20"/>
          <w:szCs w:val="20"/>
        </w:rPr>
        <w:t xml:space="preserve"> = 0.95, p &lt; 0.001</w:t>
      </w:r>
      <w:r>
        <w:rPr>
          <w:rFonts w:ascii="Times New Roman" w:hAnsi="Times New Roman" w:cs="Times New Roman"/>
          <w:b/>
          <w:bCs/>
          <w:i w:val="0"/>
          <w:iCs w:val="0"/>
          <w:color w:val="auto"/>
          <w:sz w:val="20"/>
          <w:szCs w:val="20"/>
        </w:rPr>
        <w:t>)</w:t>
      </w:r>
    </w:p>
    <w:p w14:paraId="0626A7ED" w14:textId="5CA1BF4F" w:rsidR="00964ACC" w:rsidRDefault="00F87E26" w:rsidP="00701967">
      <w:pPr>
        <w:spacing w:line="360" w:lineRule="auto"/>
        <w:rPr>
          <w:rFonts w:ascii="Times New Roman" w:hAnsi="Times New Roman" w:cs="Times New Roman"/>
          <w:b/>
        </w:rPr>
      </w:pPr>
      <w:r>
        <w:rPr>
          <w:rFonts w:ascii="Times New Roman" w:hAnsi="Times New Roman" w:cs="Times New Roman"/>
          <w:b/>
        </w:rPr>
        <w:lastRenderedPageBreak/>
        <w:t>Conclusions</w:t>
      </w:r>
    </w:p>
    <w:p w14:paraId="356D87CE" w14:textId="318AB89F" w:rsidR="00BC2F7D" w:rsidRDefault="00CC1F88" w:rsidP="00701967">
      <w:pPr>
        <w:spacing w:line="360" w:lineRule="auto"/>
        <w:rPr>
          <w:rFonts w:ascii="Times New Roman" w:hAnsi="Times New Roman" w:cs="Times New Roman"/>
          <w:bCs/>
        </w:rPr>
      </w:pPr>
      <w:r>
        <w:rPr>
          <w:rFonts w:ascii="Times New Roman" w:hAnsi="Times New Roman" w:cs="Times New Roman"/>
          <w:b/>
        </w:rPr>
        <w:tab/>
      </w:r>
      <w:r w:rsidR="00BC2F7D">
        <w:rPr>
          <w:rFonts w:ascii="Times New Roman" w:hAnsi="Times New Roman" w:cs="Times New Roman"/>
          <w:bCs/>
        </w:rPr>
        <w:t>The results of this study suggest that treelines in the Presidential Range and Katahdin Range have shifted upslope over the past several decades, consistent with observations and ecological theory which posits that trees will migrate upslope as climate change causes increased temperatures. The magnitude of this shift was greater in the Presidentials than on Katahdin, as is the area of potential alpine habitat lost as a result of warming.</w:t>
      </w:r>
      <w:r w:rsidR="00736823">
        <w:rPr>
          <w:rFonts w:ascii="Times New Roman" w:hAnsi="Times New Roman" w:cs="Times New Roman"/>
          <w:bCs/>
        </w:rPr>
        <w:t xml:space="preserve"> It is not clear from this study why treeline advance between these two ranges are so different, although other studies have found significant treeline variation within the same region </w:t>
      </w:r>
      <w:r w:rsidR="00736823">
        <w:rPr>
          <w:rFonts w:ascii="Times New Roman" w:hAnsi="Times New Roman" w:cs="Times New Roman"/>
          <w:bCs/>
        </w:rPr>
        <w:fldChar w:fldCharType="begin" w:fldLock="1"/>
      </w:r>
      <w:r w:rsidR="00736823">
        <w:rPr>
          <w:rFonts w:ascii="Times New Roman" w:hAnsi="Times New Roman" w:cs="Times New Roman"/>
          <w:bCs/>
        </w:rPr>
        <w:instrText>ADDIN CSL_CITATION {"citationItems":[{"id":"ITEM-1","itemData":{"DOI":"10.1111/gcb.12710","ISSN":"13652486","PMID":"25141823","abstract":"Altitudinal treelines are typically temperature limited such that increasing temperatures linked to global climate change are causing upslope shifts of treelines worldwide. While such elevational increases are readily predicted based on shifting isotherms, at the regional level the realized response is often much more complex, with topography and local environmental conditions playing an important modifying role. Here, we used repeated aerial photographs in combination with forest inventory data to investigate changes in treeline position in the Central Mountain Range of Taiwan over the last 60 years. A highly spatially variable upslope advance of treeline was identified in which topography is a major driver of both treeline form and advance. The changes in treeline position that we observed occurred alongside substantial increases in forest density, and lead to a large increase in overall forest area. These changes will have a significant impact on carbon stocking in the high altitude zone, while the concomitant decrease in alpine grassland area is likely to have negative implications for alpine species. The complex and spatially variable changes that we report highlight the necessity for considering local factors such as topography when attempting to predict species distributional responses to warming climate.","author":[{"dropping-particle":"","family":"Greenwood","given":"Sarah","non-dropping-particle":"","parse-names":false,"suffix":""},{"dropping-particle":"","family":"Chen","given":"Jan Chang","non-dropping-particle":"","parse-names":false,"suffix":""},{"dropping-particle":"","family":"Chen","given":"Chaur Tzuhn","non-dropping-particle":"","parse-names":false,"suffix":""},{"dropping-particle":"","family":"Jump","given":"Alistair S.","non-dropping-particle":"","parse-names":false,"suffix":""}],"container-title":"Global Change Biology","id":"ITEM-1","issue":"12","issued":{"date-parts":[["2014"]]},"page":"3756-3766","title":"Strong topographic sheltering effects lead to spatially complex treeline advance and increased forest density in a subtropical mountain region","type":"article-journal","volume":"20"},"uris":["http://www.mendeley.com/documents/?uuid=ccfa5bfa-103e-4d2b-a10c-a1403c6460cd"]}],"mendeley":{"formattedCitation":"(Greenwood et al., 2014)","manualFormatting":"(Greenwood et al. 2014)","plainTextFormattedCitation":"(Greenwood et al., 2014)"},"properties":{"noteIndex":0},"schema":"https://github.com/citation-style-language/schema/raw/master/csl-citation.json"}</w:instrText>
      </w:r>
      <w:r w:rsidR="00736823">
        <w:rPr>
          <w:rFonts w:ascii="Times New Roman" w:hAnsi="Times New Roman" w:cs="Times New Roman"/>
          <w:bCs/>
        </w:rPr>
        <w:fldChar w:fldCharType="separate"/>
      </w:r>
      <w:r w:rsidR="00736823" w:rsidRPr="00736823">
        <w:rPr>
          <w:rFonts w:ascii="Times New Roman" w:hAnsi="Times New Roman" w:cs="Times New Roman"/>
          <w:bCs/>
          <w:noProof/>
        </w:rPr>
        <w:t>(Greenwood et al. 2014)</w:t>
      </w:r>
      <w:r w:rsidR="00736823">
        <w:rPr>
          <w:rFonts w:ascii="Times New Roman" w:hAnsi="Times New Roman" w:cs="Times New Roman"/>
          <w:bCs/>
        </w:rPr>
        <w:fldChar w:fldCharType="end"/>
      </w:r>
      <w:r w:rsidR="00736823">
        <w:rPr>
          <w:rFonts w:ascii="Times New Roman" w:hAnsi="Times New Roman" w:cs="Times New Roman"/>
          <w:bCs/>
        </w:rPr>
        <w:t xml:space="preserve">. </w:t>
      </w:r>
      <w:r w:rsidR="00BC2F7D">
        <w:rPr>
          <w:rFonts w:ascii="Times New Roman" w:hAnsi="Times New Roman" w:cs="Times New Roman"/>
          <w:bCs/>
        </w:rPr>
        <w:t xml:space="preserve"> </w:t>
      </w:r>
    </w:p>
    <w:p w14:paraId="443510C4" w14:textId="56624152" w:rsidR="00CC1F88" w:rsidRDefault="00BC2F7D" w:rsidP="00BC2F7D">
      <w:pPr>
        <w:spacing w:line="360" w:lineRule="auto"/>
        <w:ind w:firstLine="720"/>
        <w:rPr>
          <w:rFonts w:ascii="Times New Roman" w:hAnsi="Times New Roman" w:cs="Times New Roman"/>
          <w:bCs/>
        </w:rPr>
      </w:pPr>
      <w:r>
        <w:rPr>
          <w:rFonts w:ascii="Times New Roman" w:hAnsi="Times New Roman" w:cs="Times New Roman"/>
          <w:bCs/>
        </w:rPr>
        <w:t>Field data also allow us to speculate on some of the drivers that can act to facilitate or limit upslope shifts. Westerly aspects allowed for greater change in treeline position in general. These aspects are more sheltered from direct solar radiation but more exposed to prevailing winds from the atmospheric jet stream. This could promote greater recruitment of tree seedlings beyond treeline. However, soil depth severely limited tree</w:t>
      </w:r>
      <w:r w:rsidR="00B354D3">
        <w:rPr>
          <w:rFonts w:ascii="Times New Roman" w:hAnsi="Times New Roman" w:cs="Times New Roman"/>
          <w:bCs/>
        </w:rPr>
        <w:t xml:space="preserve"> densities, suggesting that exposed bedrock at higher elevations can act to stall upslope shifts in treeline. </w:t>
      </w:r>
    </w:p>
    <w:p w14:paraId="47DBF70E" w14:textId="5DE107D4" w:rsidR="00CC1F88" w:rsidRDefault="00B354D3" w:rsidP="00B354D3">
      <w:pPr>
        <w:spacing w:line="360" w:lineRule="auto"/>
        <w:ind w:firstLine="720"/>
        <w:rPr>
          <w:rFonts w:ascii="Times New Roman" w:hAnsi="Times New Roman" w:cs="Times New Roman"/>
          <w:bCs/>
        </w:rPr>
      </w:pPr>
      <w:r>
        <w:rPr>
          <w:rFonts w:ascii="Times New Roman" w:hAnsi="Times New Roman" w:cs="Times New Roman"/>
          <w:bCs/>
        </w:rPr>
        <w:t>Mapping treeline locations can</w:t>
      </w:r>
      <w:r w:rsidRPr="00B354D3">
        <w:rPr>
          <w:rFonts w:ascii="Times New Roman" w:hAnsi="Times New Roman" w:cs="Times New Roman"/>
          <w:bCs/>
        </w:rPr>
        <w:t xml:space="preserve"> contribute valuable knowledge to </w:t>
      </w:r>
      <w:r>
        <w:rPr>
          <w:rFonts w:ascii="Times New Roman" w:hAnsi="Times New Roman" w:cs="Times New Roman"/>
          <w:bCs/>
        </w:rPr>
        <w:t xml:space="preserve">the </w:t>
      </w:r>
      <w:r w:rsidRPr="00B354D3">
        <w:rPr>
          <w:rFonts w:ascii="Times New Roman" w:hAnsi="Times New Roman" w:cs="Times New Roman"/>
          <w:bCs/>
        </w:rPr>
        <w:t xml:space="preserve">AMC’s longstanding mountain research program and serve as a baseline to promote better management of </w:t>
      </w:r>
      <w:r>
        <w:rPr>
          <w:rFonts w:ascii="Times New Roman" w:hAnsi="Times New Roman" w:cs="Times New Roman"/>
          <w:bCs/>
        </w:rPr>
        <w:t xml:space="preserve">regional </w:t>
      </w:r>
      <w:r w:rsidRPr="00B354D3">
        <w:rPr>
          <w:rFonts w:ascii="Times New Roman" w:hAnsi="Times New Roman" w:cs="Times New Roman"/>
          <w:bCs/>
        </w:rPr>
        <w:t xml:space="preserve">mountain communities. </w:t>
      </w:r>
      <w:r w:rsidR="00736823">
        <w:rPr>
          <w:rFonts w:ascii="Times New Roman" w:hAnsi="Times New Roman" w:cs="Times New Roman"/>
          <w:bCs/>
        </w:rPr>
        <w:t xml:space="preserve">It is clear that a loss of alpine area is extremely detrimental to sensitive and rare alpine vegetation. </w:t>
      </w:r>
      <w:r>
        <w:rPr>
          <w:rFonts w:ascii="Times New Roman" w:hAnsi="Times New Roman" w:cs="Times New Roman"/>
          <w:bCs/>
        </w:rPr>
        <w:t>My r</w:t>
      </w:r>
      <w:r w:rsidRPr="00B354D3">
        <w:rPr>
          <w:rFonts w:ascii="Times New Roman" w:hAnsi="Times New Roman" w:cs="Times New Roman"/>
          <w:bCs/>
        </w:rPr>
        <w:t xml:space="preserve">esults </w:t>
      </w:r>
      <w:r>
        <w:rPr>
          <w:rFonts w:ascii="Times New Roman" w:hAnsi="Times New Roman" w:cs="Times New Roman"/>
          <w:bCs/>
        </w:rPr>
        <w:t>are</w:t>
      </w:r>
      <w:r w:rsidRPr="00B354D3">
        <w:rPr>
          <w:rFonts w:ascii="Times New Roman" w:hAnsi="Times New Roman" w:cs="Times New Roman"/>
          <w:bCs/>
        </w:rPr>
        <w:t xml:space="preserve"> foundational for researchers and land managers in prescribing potential climate adaptation strategies</w:t>
      </w:r>
      <w:r w:rsidR="00736823">
        <w:rPr>
          <w:rFonts w:ascii="Times New Roman" w:hAnsi="Times New Roman" w:cs="Times New Roman"/>
          <w:bCs/>
        </w:rPr>
        <w:t xml:space="preserve"> and to conserve these sensitive species and communities</w:t>
      </w:r>
      <w:r w:rsidRPr="00B354D3">
        <w:rPr>
          <w:rFonts w:ascii="Times New Roman" w:hAnsi="Times New Roman" w:cs="Times New Roman"/>
          <w:bCs/>
        </w:rPr>
        <w:t xml:space="preserve">. Most importantly, the people who enjoy these irreplaceable areas will benefit from the improved conservation and understanding of mountain peaks in a warming world.  </w:t>
      </w:r>
    </w:p>
    <w:p w14:paraId="12311B62" w14:textId="77777777" w:rsidR="00B354D3" w:rsidRPr="00B354D3" w:rsidRDefault="00B354D3" w:rsidP="00B354D3">
      <w:pPr>
        <w:spacing w:line="360" w:lineRule="auto"/>
        <w:ind w:firstLine="720"/>
        <w:rPr>
          <w:rFonts w:ascii="Times New Roman" w:hAnsi="Times New Roman" w:cs="Times New Roman"/>
          <w:bCs/>
        </w:rPr>
      </w:pPr>
    </w:p>
    <w:p w14:paraId="36D05F00" w14:textId="07A45EF8" w:rsidR="00C81D34" w:rsidRPr="00775EAB" w:rsidRDefault="00C81D34" w:rsidP="001634E7">
      <w:pPr>
        <w:spacing w:line="360" w:lineRule="auto"/>
        <w:rPr>
          <w:rFonts w:ascii="Times New Roman" w:hAnsi="Times New Roman" w:cs="Times New Roman"/>
          <w:b/>
        </w:rPr>
      </w:pPr>
      <w:r w:rsidRPr="00775EAB">
        <w:rPr>
          <w:rFonts w:ascii="Times New Roman" w:hAnsi="Times New Roman" w:cs="Times New Roman"/>
          <w:b/>
        </w:rPr>
        <w:t>Acknowledgments</w:t>
      </w:r>
    </w:p>
    <w:p w14:paraId="1967CE94" w14:textId="2E0A7E10" w:rsidR="00C81D34" w:rsidRPr="001634E7" w:rsidRDefault="00030CBD" w:rsidP="001634E7">
      <w:pPr>
        <w:spacing w:after="160" w:line="360" w:lineRule="auto"/>
        <w:ind w:firstLine="720"/>
        <w:rPr>
          <w:rFonts w:ascii="Times New Roman" w:eastAsia="Calibri" w:hAnsi="Times New Roman" w:cs="Times New Roman"/>
          <w:b/>
          <w:bCs/>
        </w:rPr>
      </w:pPr>
      <w:r>
        <w:rPr>
          <w:rFonts w:ascii="Times New Roman" w:eastAsia="Calibri" w:hAnsi="Times New Roman" w:cs="Times New Roman"/>
        </w:rPr>
        <w:t>I’d</w:t>
      </w:r>
      <w:r w:rsidRPr="00030CBD">
        <w:rPr>
          <w:rFonts w:ascii="Times New Roman" w:eastAsia="Calibri" w:hAnsi="Times New Roman" w:cs="Times New Roman"/>
        </w:rPr>
        <w:t xml:space="preserve"> thank </w:t>
      </w:r>
      <w:r w:rsidR="001634E7">
        <w:rPr>
          <w:rFonts w:ascii="Times New Roman" w:eastAsia="Calibri" w:hAnsi="Times New Roman" w:cs="Times New Roman"/>
        </w:rPr>
        <w:t xml:space="preserve">the Appalachian Mountain Club for </w:t>
      </w:r>
      <w:r w:rsidRPr="00030CBD">
        <w:rPr>
          <w:rFonts w:ascii="Times New Roman" w:eastAsia="Calibri" w:hAnsi="Times New Roman" w:cs="Times New Roman"/>
        </w:rPr>
        <w:t>permits, access to sites, and logistic support</w:t>
      </w:r>
      <w:r w:rsidR="001634E7">
        <w:rPr>
          <w:rFonts w:ascii="Times New Roman" w:eastAsia="Calibri" w:hAnsi="Times New Roman" w:cs="Times New Roman"/>
        </w:rPr>
        <w:t xml:space="preserve"> for this research</w:t>
      </w:r>
      <w:r w:rsidRPr="00030CBD">
        <w:rPr>
          <w:rFonts w:ascii="Times New Roman" w:eastAsia="Calibri" w:hAnsi="Times New Roman" w:cs="Times New Roman"/>
        </w:rPr>
        <w:t>.</w:t>
      </w:r>
      <w:r w:rsidR="001634E7">
        <w:rPr>
          <w:rFonts w:ascii="Times New Roman" w:eastAsia="Calibri" w:hAnsi="Times New Roman" w:cs="Times New Roman"/>
        </w:rPr>
        <w:t xml:space="preserve"> Specifically, I’d like to thank David Publicover and Sarah Nelson for their assistance with this project.</w:t>
      </w:r>
      <w:r w:rsidRPr="00030CBD">
        <w:rPr>
          <w:rFonts w:ascii="Times New Roman" w:eastAsia="Calibri" w:hAnsi="Times New Roman" w:cs="Times New Roman"/>
        </w:rPr>
        <w:t xml:space="preserve"> This research was </w:t>
      </w:r>
      <w:r w:rsidR="001634E7">
        <w:rPr>
          <w:rFonts w:ascii="Times New Roman" w:eastAsia="Calibri" w:hAnsi="Times New Roman" w:cs="Times New Roman"/>
        </w:rPr>
        <w:t xml:space="preserve">partly </w:t>
      </w:r>
      <w:r w:rsidRPr="00030CBD">
        <w:rPr>
          <w:rFonts w:ascii="Times New Roman" w:eastAsia="Calibri" w:hAnsi="Times New Roman" w:cs="Times New Roman"/>
        </w:rPr>
        <w:t xml:space="preserve">supported by research grants </w:t>
      </w:r>
      <w:r w:rsidR="001634E7">
        <w:rPr>
          <w:rFonts w:ascii="Times New Roman" w:eastAsia="Calibri" w:hAnsi="Times New Roman" w:cs="Times New Roman"/>
        </w:rPr>
        <w:t xml:space="preserve">and awards </w:t>
      </w:r>
      <w:r w:rsidRPr="00030CBD">
        <w:rPr>
          <w:rFonts w:ascii="Times New Roman" w:eastAsia="Calibri" w:hAnsi="Times New Roman" w:cs="Times New Roman"/>
        </w:rPr>
        <w:t>from the US National Science Foundation</w:t>
      </w:r>
      <w:r w:rsidR="001634E7">
        <w:rPr>
          <w:rFonts w:ascii="Times New Roman" w:eastAsia="Calibri" w:hAnsi="Times New Roman" w:cs="Times New Roman"/>
        </w:rPr>
        <w:t>,</w:t>
      </w:r>
      <w:r w:rsidRPr="00030CBD">
        <w:rPr>
          <w:rFonts w:ascii="Times New Roman" w:eastAsia="Calibri" w:hAnsi="Times New Roman" w:cs="Times New Roman"/>
        </w:rPr>
        <w:t xml:space="preserve"> the Botanical Society of America</w:t>
      </w:r>
      <w:r w:rsidR="001634E7">
        <w:rPr>
          <w:rFonts w:ascii="Times New Roman" w:eastAsia="Calibri" w:hAnsi="Times New Roman" w:cs="Times New Roman"/>
        </w:rPr>
        <w:t>,</w:t>
      </w:r>
      <w:r w:rsidRPr="00030CBD">
        <w:rPr>
          <w:rFonts w:ascii="Times New Roman" w:eastAsia="Calibri" w:hAnsi="Times New Roman" w:cs="Times New Roman"/>
        </w:rPr>
        <w:t xml:space="preserve"> the New York Flora Association</w:t>
      </w:r>
      <w:r w:rsidR="001634E7">
        <w:rPr>
          <w:rFonts w:ascii="Times New Roman" w:eastAsia="Calibri" w:hAnsi="Times New Roman" w:cs="Times New Roman"/>
        </w:rPr>
        <w:t>, and largely by support from the Edna Bailey Sussman Fund.</w:t>
      </w:r>
    </w:p>
    <w:p w14:paraId="3E6CB8AA" w14:textId="63AFF569" w:rsidR="00C81D34" w:rsidRDefault="00C81D34" w:rsidP="001634E7">
      <w:pPr>
        <w:spacing w:line="360" w:lineRule="auto"/>
        <w:rPr>
          <w:rFonts w:ascii="Times New Roman" w:hAnsi="Times New Roman" w:cs="Times New Roman"/>
          <w:b/>
        </w:rPr>
      </w:pPr>
      <w:r>
        <w:rPr>
          <w:rFonts w:ascii="Times New Roman" w:hAnsi="Times New Roman" w:cs="Times New Roman"/>
          <w:b/>
        </w:rPr>
        <w:t>Literature</w:t>
      </w:r>
      <w:r w:rsidRPr="00775EAB">
        <w:rPr>
          <w:rFonts w:ascii="Times New Roman" w:hAnsi="Times New Roman" w:cs="Times New Roman"/>
          <w:b/>
        </w:rPr>
        <w:t xml:space="preserve"> Cited</w:t>
      </w:r>
    </w:p>
    <w:p w14:paraId="7B34CFCB" w14:textId="125B7320" w:rsidR="00736823" w:rsidRPr="00736823" w:rsidRDefault="000F572B" w:rsidP="00736823">
      <w:pPr>
        <w:widowControl w:val="0"/>
        <w:autoSpaceDE w:val="0"/>
        <w:autoSpaceDN w:val="0"/>
        <w:adjustRightInd w:val="0"/>
        <w:spacing w:line="360" w:lineRule="auto"/>
        <w:ind w:left="480" w:hanging="480"/>
        <w:rPr>
          <w:rFonts w:ascii="Times New Roman" w:hAnsi="Times New Roman" w:cs="Times New Roman"/>
          <w:noProof/>
          <w:sz w:val="16"/>
        </w:rPr>
      </w:pPr>
      <w:r w:rsidRPr="00B354D3">
        <w:rPr>
          <w:rFonts w:ascii="Times New Roman" w:hAnsi="Times New Roman" w:cs="Times New Roman"/>
          <w:b/>
          <w:sz w:val="16"/>
          <w:szCs w:val="16"/>
        </w:rPr>
        <w:fldChar w:fldCharType="begin" w:fldLock="1"/>
      </w:r>
      <w:r w:rsidRPr="00B354D3">
        <w:rPr>
          <w:rFonts w:ascii="Times New Roman" w:hAnsi="Times New Roman" w:cs="Times New Roman"/>
          <w:b/>
          <w:sz w:val="16"/>
          <w:szCs w:val="16"/>
        </w:rPr>
        <w:instrText xml:space="preserve">ADDIN Mendeley Bibliography CSL_BIBLIOGRAPHY </w:instrText>
      </w:r>
      <w:r w:rsidRPr="00B354D3">
        <w:rPr>
          <w:rFonts w:ascii="Times New Roman" w:hAnsi="Times New Roman" w:cs="Times New Roman"/>
          <w:b/>
          <w:sz w:val="16"/>
          <w:szCs w:val="16"/>
        </w:rPr>
        <w:fldChar w:fldCharType="separate"/>
      </w:r>
      <w:r w:rsidR="00736823" w:rsidRPr="00736823">
        <w:rPr>
          <w:rFonts w:ascii="Times New Roman" w:hAnsi="Times New Roman" w:cs="Times New Roman"/>
          <w:noProof/>
          <w:sz w:val="16"/>
        </w:rPr>
        <w:t xml:space="preserve">Aitken, S. N., Yeaman, S., Holliday, J. A., Wang, T., &amp; Curtis-McLane, S. (2008). Adaptation, migration or extirpation: climate change outcomes </w:t>
      </w:r>
      <w:r w:rsidR="00736823" w:rsidRPr="00736823">
        <w:rPr>
          <w:rFonts w:ascii="Times New Roman" w:hAnsi="Times New Roman" w:cs="Times New Roman"/>
          <w:noProof/>
          <w:sz w:val="16"/>
        </w:rPr>
        <w:lastRenderedPageBreak/>
        <w:t xml:space="preserve">for tree populations. </w:t>
      </w:r>
      <w:r w:rsidR="00736823" w:rsidRPr="00736823">
        <w:rPr>
          <w:rFonts w:ascii="Times New Roman" w:hAnsi="Times New Roman" w:cs="Times New Roman"/>
          <w:i/>
          <w:iCs/>
          <w:noProof/>
          <w:sz w:val="16"/>
        </w:rPr>
        <w:t>Evolutionary Applications</w:t>
      </w:r>
      <w:r w:rsidR="00736823" w:rsidRPr="00736823">
        <w:rPr>
          <w:rFonts w:ascii="Times New Roman" w:hAnsi="Times New Roman" w:cs="Times New Roman"/>
          <w:noProof/>
          <w:sz w:val="16"/>
        </w:rPr>
        <w:t xml:space="preserve">, </w:t>
      </w:r>
      <w:r w:rsidR="00736823" w:rsidRPr="00736823">
        <w:rPr>
          <w:rFonts w:ascii="Times New Roman" w:hAnsi="Times New Roman" w:cs="Times New Roman"/>
          <w:i/>
          <w:iCs/>
          <w:noProof/>
          <w:sz w:val="16"/>
        </w:rPr>
        <w:t>1</w:t>
      </w:r>
      <w:r w:rsidR="00736823" w:rsidRPr="00736823">
        <w:rPr>
          <w:rFonts w:ascii="Times New Roman" w:hAnsi="Times New Roman" w:cs="Times New Roman"/>
          <w:noProof/>
          <w:sz w:val="16"/>
        </w:rPr>
        <w:t>(1), 95–111. https://doi.org/10.1111/j.1752-4571.2007.00013.x</w:t>
      </w:r>
    </w:p>
    <w:p w14:paraId="3414A16C"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Alexander, J. M., Chalmandrier, L., Lenoir, J., Burgess, T. I., Essl, F., Haider, S., Kueffer, C., McDougall, K., Milbau, A., Nuñez, M. A., Pauchard, A., Rabitsch, W., Rew, L. J., Sanders, N. J., &amp; Pellissier, L. (2018). Lags in the response of mountain plant communities to climate change. </w:t>
      </w:r>
      <w:r w:rsidRPr="00736823">
        <w:rPr>
          <w:rFonts w:ascii="Times New Roman" w:hAnsi="Times New Roman" w:cs="Times New Roman"/>
          <w:i/>
          <w:iCs/>
          <w:noProof/>
          <w:sz w:val="16"/>
        </w:rPr>
        <w:t>Global Change Biology</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24</w:t>
      </w:r>
      <w:r w:rsidRPr="00736823">
        <w:rPr>
          <w:rFonts w:ascii="Times New Roman" w:hAnsi="Times New Roman" w:cs="Times New Roman"/>
          <w:noProof/>
          <w:sz w:val="16"/>
        </w:rPr>
        <w:t>(2), 563–579. https://doi.org/10.1111/gcb.13976</w:t>
      </w:r>
    </w:p>
    <w:p w14:paraId="16817DAF"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Beck, P. S. A., Juday, G. P., Alix, C., Barber, V. A., Winslow, S. E., Sousa, E. E., Heiser, P., Herriges, J. D., &amp; Goetz, S. J. (2011). Changes in forest productivity across Alaska consistent with biome shift. </w:t>
      </w:r>
      <w:r w:rsidRPr="00736823">
        <w:rPr>
          <w:rFonts w:ascii="Times New Roman" w:hAnsi="Times New Roman" w:cs="Times New Roman"/>
          <w:i/>
          <w:iCs/>
          <w:noProof/>
          <w:sz w:val="16"/>
        </w:rPr>
        <w:t>Ecology Letters</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14</w:t>
      </w:r>
      <w:r w:rsidRPr="00736823">
        <w:rPr>
          <w:rFonts w:ascii="Times New Roman" w:hAnsi="Times New Roman" w:cs="Times New Roman"/>
          <w:noProof/>
          <w:sz w:val="16"/>
        </w:rPr>
        <w:t>(4), 373–379. https://doi.org/10.1111/j.1461-0248.2011.01598.x</w:t>
      </w:r>
    </w:p>
    <w:p w14:paraId="00BF6710"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Beckage, B., Osborne, B., Gavin, D. G., Pucko, C., Siccama, T., &amp; Perkins, T. (2008). A rapid upward shift of a forest ecotone during 40 years of warming in the Green Mountains of Vermont. </w:t>
      </w:r>
      <w:r w:rsidRPr="00736823">
        <w:rPr>
          <w:rFonts w:ascii="Times New Roman" w:hAnsi="Times New Roman" w:cs="Times New Roman"/>
          <w:i/>
          <w:iCs/>
          <w:noProof/>
          <w:sz w:val="16"/>
        </w:rPr>
        <w:t>Proceedings of the National Academy of Sciences of the United States of America</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105</w:t>
      </w:r>
      <w:r w:rsidRPr="00736823">
        <w:rPr>
          <w:rFonts w:ascii="Times New Roman" w:hAnsi="Times New Roman" w:cs="Times New Roman"/>
          <w:noProof/>
          <w:sz w:val="16"/>
        </w:rPr>
        <w:t>(11), 4197–4202. https://doi.org/10.1073/pnas.0708921105</w:t>
      </w:r>
    </w:p>
    <w:p w14:paraId="49E1850A"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Boisvert-Marsh, L., Périé, C., &amp; De Blois, S. (2014). Shifting with climate? Evidence for recent changes in tree species distribution at high latitudes. </w:t>
      </w:r>
      <w:r w:rsidRPr="00736823">
        <w:rPr>
          <w:rFonts w:ascii="Times New Roman" w:hAnsi="Times New Roman" w:cs="Times New Roman"/>
          <w:i/>
          <w:iCs/>
          <w:noProof/>
          <w:sz w:val="16"/>
        </w:rPr>
        <w:t>Ecosphere</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5</w:t>
      </w:r>
      <w:r w:rsidRPr="00736823">
        <w:rPr>
          <w:rFonts w:ascii="Times New Roman" w:hAnsi="Times New Roman" w:cs="Times New Roman"/>
          <w:noProof/>
          <w:sz w:val="16"/>
        </w:rPr>
        <w:t>(7), 1–33. https://doi.org/10.1890/ES14-00111.1</w:t>
      </w:r>
    </w:p>
    <w:p w14:paraId="6BB99B43"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Brown, C. D., &amp; Vellend, M. (2014). Non-climatic constraints on upper elevational plant range expansion under climate change. </w:t>
      </w:r>
      <w:r w:rsidRPr="00736823">
        <w:rPr>
          <w:rFonts w:ascii="Times New Roman" w:hAnsi="Times New Roman" w:cs="Times New Roman"/>
          <w:i/>
          <w:iCs/>
          <w:noProof/>
          <w:sz w:val="16"/>
        </w:rPr>
        <w:t>Proceedings of the Royal Society B: Biological Sciences</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281</w:t>
      </w:r>
      <w:r w:rsidRPr="00736823">
        <w:rPr>
          <w:rFonts w:ascii="Times New Roman" w:hAnsi="Times New Roman" w:cs="Times New Roman"/>
          <w:noProof/>
          <w:sz w:val="16"/>
        </w:rPr>
        <w:t>(1794). https://doi.org/10.1098/rspb.2014.1779</w:t>
      </w:r>
    </w:p>
    <w:p w14:paraId="4A863B59"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Fei, S., Desprez, J. M., Potter, K. M., Jo, I., Knott, J. A., &amp; Oswalt, C. M. (2017). Divergence of species responses to climate change. </w:t>
      </w:r>
      <w:r w:rsidRPr="00736823">
        <w:rPr>
          <w:rFonts w:ascii="Times New Roman" w:hAnsi="Times New Roman" w:cs="Times New Roman"/>
          <w:i/>
          <w:iCs/>
          <w:noProof/>
          <w:sz w:val="16"/>
        </w:rPr>
        <w:t>Science Advances</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3</w:t>
      </w:r>
      <w:r w:rsidRPr="00736823">
        <w:rPr>
          <w:rFonts w:ascii="Times New Roman" w:hAnsi="Times New Roman" w:cs="Times New Roman"/>
          <w:noProof/>
          <w:sz w:val="16"/>
        </w:rPr>
        <w:t>(5). https://doi.org/10.1126/sciadv.1603055</w:t>
      </w:r>
    </w:p>
    <w:p w14:paraId="1A9F8F4A"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Foster, J. R., &amp; D’Amato, A. W. (2015). Montane forest ecotones moved downslope in northeastern USA in spite of warming between 1984 and 2011. </w:t>
      </w:r>
      <w:r w:rsidRPr="00736823">
        <w:rPr>
          <w:rFonts w:ascii="Times New Roman" w:hAnsi="Times New Roman" w:cs="Times New Roman"/>
          <w:i/>
          <w:iCs/>
          <w:noProof/>
          <w:sz w:val="16"/>
        </w:rPr>
        <w:t>Global Change Biology</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21</w:t>
      </w:r>
      <w:r w:rsidRPr="00736823">
        <w:rPr>
          <w:rFonts w:ascii="Times New Roman" w:hAnsi="Times New Roman" w:cs="Times New Roman"/>
          <w:noProof/>
          <w:sz w:val="16"/>
        </w:rPr>
        <w:t>(12), 4497–4507. https://doi.org/10.1111/gcb.13046</w:t>
      </w:r>
    </w:p>
    <w:p w14:paraId="7648C812"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Greenwood, S., Chen, J. C., Chen, C. T., &amp; Jump, A. S. (2014). Strong topographic sheltering effects lead to spatially complex treeline advance and increased forest density in a subtropical mountain region. </w:t>
      </w:r>
      <w:r w:rsidRPr="00736823">
        <w:rPr>
          <w:rFonts w:ascii="Times New Roman" w:hAnsi="Times New Roman" w:cs="Times New Roman"/>
          <w:i/>
          <w:iCs/>
          <w:noProof/>
          <w:sz w:val="16"/>
        </w:rPr>
        <w:t>Global Change Biology</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20</w:t>
      </w:r>
      <w:r w:rsidRPr="00736823">
        <w:rPr>
          <w:rFonts w:ascii="Times New Roman" w:hAnsi="Times New Roman" w:cs="Times New Roman"/>
          <w:noProof/>
          <w:sz w:val="16"/>
        </w:rPr>
        <w:t>(12), 3756–3766. https://doi.org/10.1111/gcb.12710</w:t>
      </w:r>
    </w:p>
    <w:p w14:paraId="61305199"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Harsch, M. A., Hulme, P. E., McGlone, M. S., &amp; Duncan, R. P. (2009). Are treelines advancing? A global meta-analysis of treeline response to climate warming. </w:t>
      </w:r>
      <w:r w:rsidRPr="00736823">
        <w:rPr>
          <w:rFonts w:ascii="Times New Roman" w:hAnsi="Times New Roman" w:cs="Times New Roman"/>
          <w:i/>
          <w:iCs/>
          <w:noProof/>
          <w:sz w:val="16"/>
        </w:rPr>
        <w:t>Ecology Letters</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12</w:t>
      </w:r>
      <w:r w:rsidRPr="00736823">
        <w:rPr>
          <w:rFonts w:ascii="Times New Roman" w:hAnsi="Times New Roman" w:cs="Times New Roman"/>
          <w:noProof/>
          <w:sz w:val="16"/>
        </w:rPr>
        <w:t>(10), 1040–1049. https://doi.org/10.1111/j.1461-0248.2009.01355.x</w:t>
      </w:r>
    </w:p>
    <w:p w14:paraId="15B74C8D"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Iverson, L. R., Prasad, A. M., Matthews, S. N., &amp; Peters, M. (2008). Estimating potential habitat for 134 eastern US tree species under six climate scenarios. </w:t>
      </w:r>
      <w:r w:rsidRPr="00736823">
        <w:rPr>
          <w:rFonts w:ascii="Times New Roman" w:hAnsi="Times New Roman" w:cs="Times New Roman"/>
          <w:i/>
          <w:iCs/>
          <w:noProof/>
          <w:sz w:val="16"/>
        </w:rPr>
        <w:t>Forest Ecology and Management</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254</w:t>
      </w:r>
      <w:r w:rsidRPr="00736823">
        <w:rPr>
          <w:rFonts w:ascii="Times New Roman" w:hAnsi="Times New Roman" w:cs="Times New Roman"/>
          <w:noProof/>
          <w:sz w:val="16"/>
        </w:rPr>
        <w:t>(3), 390–406. https://doi.org/10.1016/j.foreco.2007.07.023</w:t>
      </w:r>
    </w:p>
    <w:p w14:paraId="34007B44"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J Lenoir, JC Gégout, JC Pierrat, JD Bontemps, J. D. (2009). Differences between tree species seedling and adult altitudinal distribution in mountain forests during the recent warm period (1986-2006). </w:t>
      </w:r>
      <w:r w:rsidRPr="00736823">
        <w:rPr>
          <w:rFonts w:ascii="Times New Roman" w:hAnsi="Times New Roman" w:cs="Times New Roman"/>
          <w:i/>
          <w:iCs/>
          <w:noProof/>
          <w:sz w:val="16"/>
        </w:rPr>
        <w:t>Ecography</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66</w:t>
      </w:r>
      <w:r w:rsidRPr="00736823">
        <w:rPr>
          <w:rFonts w:ascii="Times New Roman" w:hAnsi="Times New Roman" w:cs="Times New Roman"/>
          <w:noProof/>
          <w:sz w:val="16"/>
        </w:rPr>
        <w:t>(1), 152–171.</w:t>
      </w:r>
    </w:p>
    <w:p w14:paraId="1185A278"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Janowiak, M. K., D’Amato, A. W., Swanston, C. W., Iverson, L., Thompson, F. R., Dijak, W. D., Matthews, S., Peters, M. P., Prasad, A., Fraser, J. S., Brandt, L. A., Butler-Leopold, P., Handler, S. D., Shannon, P. D., Burbank, D., Campbell, J., Cogbill, C., Duveneck, M. J., Emery, M. R., … Templer, P. H. (2018). </w:t>
      </w:r>
      <w:r w:rsidRPr="00736823">
        <w:rPr>
          <w:rFonts w:ascii="Times New Roman" w:hAnsi="Times New Roman" w:cs="Times New Roman"/>
          <w:i/>
          <w:iCs/>
          <w:noProof/>
          <w:sz w:val="16"/>
        </w:rPr>
        <w:t>New England and Northern New York Forest Ecosystem Vulnerability Assessment and Synthesis : A Report from the New England Climate Change Response Framework Project</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January</w:t>
      </w:r>
      <w:r w:rsidRPr="00736823">
        <w:rPr>
          <w:rFonts w:ascii="Times New Roman" w:hAnsi="Times New Roman" w:cs="Times New Roman"/>
          <w:noProof/>
          <w:sz w:val="16"/>
        </w:rPr>
        <w:t>, 234.</w:t>
      </w:r>
    </w:p>
    <w:p w14:paraId="4EB68300"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Jump, A. S., &amp; Peñuelas, J. (2005). Running to stand still: Adaptation and the response of plants to rapid climate change. </w:t>
      </w:r>
      <w:r w:rsidRPr="00736823">
        <w:rPr>
          <w:rFonts w:ascii="Times New Roman" w:hAnsi="Times New Roman" w:cs="Times New Roman"/>
          <w:i/>
          <w:iCs/>
          <w:noProof/>
          <w:sz w:val="16"/>
        </w:rPr>
        <w:t>Ecology Letters</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8</w:t>
      </w:r>
      <w:r w:rsidRPr="00736823">
        <w:rPr>
          <w:rFonts w:ascii="Times New Roman" w:hAnsi="Times New Roman" w:cs="Times New Roman"/>
          <w:noProof/>
          <w:sz w:val="16"/>
        </w:rPr>
        <w:t>(9), 1010–1020. https://doi.org/10.1111/j.1461-0248.2005.00796.x</w:t>
      </w:r>
    </w:p>
    <w:p w14:paraId="4ACC73B0"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Liang, Y., Duveneck, M. J., Gustafson, E. J., Serra-Diaz, J. M., &amp; Thompson, J. R. (2018). How disturbance, competition, and dispersal interact to prevent tree range boundaries from keeping pace with climate change. </w:t>
      </w:r>
      <w:r w:rsidRPr="00736823">
        <w:rPr>
          <w:rFonts w:ascii="Times New Roman" w:hAnsi="Times New Roman" w:cs="Times New Roman"/>
          <w:i/>
          <w:iCs/>
          <w:noProof/>
          <w:sz w:val="16"/>
        </w:rPr>
        <w:t>Global Change Biology</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24</w:t>
      </w:r>
      <w:r w:rsidRPr="00736823">
        <w:rPr>
          <w:rFonts w:ascii="Times New Roman" w:hAnsi="Times New Roman" w:cs="Times New Roman"/>
          <w:noProof/>
          <w:sz w:val="16"/>
        </w:rPr>
        <w:t>(1), e335–e351. https://doi.org/10.1111/gcb.13847</w:t>
      </w:r>
    </w:p>
    <w:p w14:paraId="207EF4DD"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McKenney, D. W., Pedlar, J. H., Lawrence, K., Campbell, K., &amp; Hutchinson, M. F. (2007). Potential impacts of climate change on the distribution of North American trees. </w:t>
      </w:r>
      <w:r w:rsidRPr="00736823">
        <w:rPr>
          <w:rFonts w:ascii="Times New Roman" w:hAnsi="Times New Roman" w:cs="Times New Roman"/>
          <w:i/>
          <w:iCs/>
          <w:noProof/>
          <w:sz w:val="16"/>
        </w:rPr>
        <w:t>BioScience</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57</w:t>
      </w:r>
      <w:r w:rsidRPr="00736823">
        <w:rPr>
          <w:rFonts w:ascii="Times New Roman" w:hAnsi="Times New Roman" w:cs="Times New Roman"/>
          <w:noProof/>
          <w:sz w:val="16"/>
        </w:rPr>
        <w:t>(11), 939–948. https://doi.org/10.1641/B571106</w:t>
      </w:r>
    </w:p>
    <w:p w14:paraId="41849887"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Sittaro, F., Paquette, A., Messier, C., &amp; Nock, C. A. (2017). Tree range expansion in eastern North America fails to keep pace with climate warming at northern range limits. </w:t>
      </w:r>
      <w:r w:rsidRPr="00736823">
        <w:rPr>
          <w:rFonts w:ascii="Times New Roman" w:hAnsi="Times New Roman" w:cs="Times New Roman"/>
          <w:i/>
          <w:iCs/>
          <w:noProof/>
          <w:sz w:val="16"/>
        </w:rPr>
        <w:t>Global Change Biology</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23</w:t>
      </w:r>
      <w:r w:rsidRPr="00736823">
        <w:rPr>
          <w:rFonts w:ascii="Times New Roman" w:hAnsi="Times New Roman" w:cs="Times New Roman"/>
          <w:noProof/>
          <w:sz w:val="16"/>
        </w:rPr>
        <w:t>(8), 3292–3301. https://doi.org/10.1111/gcb.13622</w:t>
      </w:r>
    </w:p>
    <w:p w14:paraId="16DC4F82"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Wason, J. W., &amp; Dovciak, M. (2017). Tree demography suggests multiple directions and drivers for species range shifts in mountains of Northeastern United States. </w:t>
      </w:r>
      <w:r w:rsidRPr="00736823">
        <w:rPr>
          <w:rFonts w:ascii="Times New Roman" w:hAnsi="Times New Roman" w:cs="Times New Roman"/>
          <w:i/>
          <w:iCs/>
          <w:noProof/>
          <w:sz w:val="16"/>
        </w:rPr>
        <w:t>Global Change Biology</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23</w:t>
      </w:r>
      <w:r w:rsidRPr="00736823">
        <w:rPr>
          <w:rFonts w:ascii="Times New Roman" w:hAnsi="Times New Roman" w:cs="Times New Roman"/>
          <w:noProof/>
          <w:sz w:val="16"/>
        </w:rPr>
        <w:t>(8), 3335–3347. https://doi.org/10.1111/gcb.13584</w:t>
      </w:r>
    </w:p>
    <w:p w14:paraId="1CE2E740" w14:textId="77777777" w:rsidR="00736823" w:rsidRPr="00736823" w:rsidRDefault="00736823" w:rsidP="00736823">
      <w:pPr>
        <w:widowControl w:val="0"/>
        <w:autoSpaceDE w:val="0"/>
        <w:autoSpaceDN w:val="0"/>
        <w:adjustRightInd w:val="0"/>
        <w:spacing w:line="360" w:lineRule="auto"/>
        <w:ind w:left="480" w:hanging="480"/>
        <w:rPr>
          <w:rFonts w:ascii="Times New Roman" w:hAnsi="Times New Roman" w:cs="Times New Roman"/>
          <w:noProof/>
          <w:sz w:val="16"/>
        </w:rPr>
      </w:pPr>
      <w:r w:rsidRPr="00736823">
        <w:rPr>
          <w:rFonts w:ascii="Times New Roman" w:hAnsi="Times New Roman" w:cs="Times New Roman"/>
          <w:noProof/>
          <w:sz w:val="16"/>
        </w:rPr>
        <w:t xml:space="preserve">Woodall, C. W., Oswalt, C. M., Westfall, J. A., Perry, C. H., Nelson, M. D., &amp; Finley, A. O. (2009). An indicator of tree migration in forests of the eastern United States. </w:t>
      </w:r>
      <w:r w:rsidRPr="00736823">
        <w:rPr>
          <w:rFonts w:ascii="Times New Roman" w:hAnsi="Times New Roman" w:cs="Times New Roman"/>
          <w:i/>
          <w:iCs/>
          <w:noProof/>
          <w:sz w:val="16"/>
        </w:rPr>
        <w:t>Forest Ecology and Management</w:t>
      </w:r>
      <w:r w:rsidRPr="00736823">
        <w:rPr>
          <w:rFonts w:ascii="Times New Roman" w:hAnsi="Times New Roman" w:cs="Times New Roman"/>
          <w:noProof/>
          <w:sz w:val="16"/>
        </w:rPr>
        <w:t xml:space="preserve">, </w:t>
      </w:r>
      <w:r w:rsidRPr="00736823">
        <w:rPr>
          <w:rFonts w:ascii="Times New Roman" w:hAnsi="Times New Roman" w:cs="Times New Roman"/>
          <w:i/>
          <w:iCs/>
          <w:noProof/>
          <w:sz w:val="16"/>
        </w:rPr>
        <w:t>257</w:t>
      </w:r>
      <w:r w:rsidRPr="00736823">
        <w:rPr>
          <w:rFonts w:ascii="Times New Roman" w:hAnsi="Times New Roman" w:cs="Times New Roman"/>
          <w:noProof/>
          <w:sz w:val="16"/>
        </w:rPr>
        <w:t>(5), 1434–1444. https://doi.org/10.1016/j.foreco.2008.12.013</w:t>
      </w:r>
    </w:p>
    <w:p w14:paraId="7066982E" w14:textId="0327A8EB" w:rsidR="00944CC6" w:rsidRPr="00B354D3" w:rsidRDefault="000F572B" w:rsidP="001634E7">
      <w:pPr>
        <w:spacing w:line="360" w:lineRule="auto"/>
        <w:rPr>
          <w:rFonts w:ascii="Times New Roman" w:hAnsi="Times New Roman" w:cs="Times New Roman"/>
          <w:b/>
          <w:sz w:val="16"/>
          <w:szCs w:val="16"/>
        </w:rPr>
      </w:pPr>
      <w:r w:rsidRPr="00B354D3">
        <w:rPr>
          <w:rFonts w:ascii="Times New Roman" w:hAnsi="Times New Roman" w:cs="Times New Roman"/>
          <w:b/>
          <w:sz w:val="16"/>
          <w:szCs w:val="16"/>
        </w:rPr>
        <w:fldChar w:fldCharType="end"/>
      </w:r>
    </w:p>
    <w:p w14:paraId="1A221209" w14:textId="6906F0E1" w:rsidR="00C81D34" w:rsidRPr="000F572B" w:rsidRDefault="00C81D34" w:rsidP="001634E7">
      <w:pPr>
        <w:spacing w:line="360" w:lineRule="auto"/>
        <w:ind w:left="360" w:hanging="360"/>
        <w:rPr>
          <w:rFonts w:ascii="Times New Roman" w:hAnsi="Times New Roman" w:cs="Times New Roman"/>
          <w:bCs/>
          <w:sz w:val="20"/>
          <w:szCs w:val="20"/>
        </w:rPr>
      </w:pPr>
    </w:p>
    <w:sectPr w:rsidR="00C81D34" w:rsidRPr="000F572B" w:rsidSect="005878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34"/>
    <w:rsid w:val="000031FF"/>
    <w:rsid w:val="00030CBD"/>
    <w:rsid w:val="000663B2"/>
    <w:rsid w:val="00085AF7"/>
    <w:rsid w:val="000F3C20"/>
    <w:rsid w:val="000F572B"/>
    <w:rsid w:val="001634E7"/>
    <w:rsid w:val="00170913"/>
    <w:rsid w:val="00182558"/>
    <w:rsid w:val="001C12C9"/>
    <w:rsid w:val="002013D4"/>
    <w:rsid w:val="00202F8E"/>
    <w:rsid w:val="00233EDC"/>
    <w:rsid w:val="00245381"/>
    <w:rsid w:val="002D18C8"/>
    <w:rsid w:val="002E2BFB"/>
    <w:rsid w:val="002F4309"/>
    <w:rsid w:val="004312DC"/>
    <w:rsid w:val="004948E6"/>
    <w:rsid w:val="004A320C"/>
    <w:rsid w:val="00545D63"/>
    <w:rsid w:val="006517AD"/>
    <w:rsid w:val="006A4E43"/>
    <w:rsid w:val="006B7697"/>
    <w:rsid w:val="00701967"/>
    <w:rsid w:val="00736823"/>
    <w:rsid w:val="00750F2B"/>
    <w:rsid w:val="00780441"/>
    <w:rsid w:val="00791CBB"/>
    <w:rsid w:val="007C6211"/>
    <w:rsid w:val="007F5D4A"/>
    <w:rsid w:val="008912E4"/>
    <w:rsid w:val="00944CC6"/>
    <w:rsid w:val="00964350"/>
    <w:rsid w:val="00964ACC"/>
    <w:rsid w:val="00973843"/>
    <w:rsid w:val="009B6B46"/>
    <w:rsid w:val="009C7FCC"/>
    <w:rsid w:val="00A61572"/>
    <w:rsid w:val="00A63937"/>
    <w:rsid w:val="00B354D3"/>
    <w:rsid w:val="00BC2F7D"/>
    <w:rsid w:val="00BE342F"/>
    <w:rsid w:val="00C274AB"/>
    <w:rsid w:val="00C81D34"/>
    <w:rsid w:val="00CC1F88"/>
    <w:rsid w:val="00CC21C4"/>
    <w:rsid w:val="00CD6BA1"/>
    <w:rsid w:val="00D316C5"/>
    <w:rsid w:val="00D749A8"/>
    <w:rsid w:val="00D751D4"/>
    <w:rsid w:val="00D87D51"/>
    <w:rsid w:val="00D928EF"/>
    <w:rsid w:val="00DD6917"/>
    <w:rsid w:val="00E80ADD"/>
    <w:rsid w:val="00F47CBB"/>
    <w:rsid w:val="00F562E2"/>
    <w:rsid w:val="00F80B01"/>
    <w:rsid w:val="00F87E26"/>
    <w:rsid w:val="00FC1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BEF1E"/>
  <w15:chartTrackingRefBased/>
  <w15:docId w15:val="{7BC12122-38F7-4916-A7E1-521EF8EF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D34"/>
    <w:pPr>
      <w:spacing w:after="0" w:line="240" w:lineRule="auto"/>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6C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16C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312DC"/>
    <w:rPr>
      <w:sz w:val="16"/>
      <w:szCs w:val="16"/>
    </w:rPr>
  </w:style>
  <w:style w:type="paragraph" w:styleId="CommentText">
    <w:name w:val="annotation text"/>
    <w:basedOn w:val="Normal"/>
    <w:link w:val="CommentTextChar"/>
    <w:uiPriority w:val="99"/>
    <w:semiHidden/>
    <w:unhideWhenUsed/>
    <w:rsid w:val="004312DC"/>
    <w:rPr>
      <w:sz w:val="20"/>
      <w:szCs w:val="20"/>
    </w:rPr>
  </w:style>
  <w:style w:type="character" w:customStyle="1" w:styleId="CommentTextChar">
    <w:name w:val="Comment Text Char"/>
    <w:basedOn w:val="DefaultParagraphFont"/>
    <w:link w:val="CommentText"/>
    <w:uiPriority w:val="99"/>
    <w:semiHidden/>
    <w:rsid w:val="004312DC"/>
    <w:rPr>
      <w:sz w:val="20"/>
      <w:szCs w:val="20"/>
    </w:rPr>
  </w:style>
  <w:style w:type="paragraph" w:styleId="CommentSubject">
    <w:name w:val="annotation subject"/>
    <w:basedOn w:val="CommentText"/>
    <w:next w:val="CommentText"/>
    <w:link w:val="CommentSubjectChar"/>
    <w:uiPriority w:val="99"/>
    <w:semiHidden/>
    <w:unhideWhenUsed/>
    <w:rsid w:val="004312DC"/>
    <w:rPr>
      <w:b/>
      <w:bCs/>
    </w:rPr>
  </w:style>
  <w:style w:type="character" w:customStyle="1" w:styleId="CommentSubjectChar">
    <w:name w:val="Comment Subject Char"/>
    <w:basedOn w:val="CommentTextChar"/>
    <w:link w:val="CommentSubject"/>
    <w:uiPriority w:val="99"/>
    <w:semiHidden/>
    <w:rsid w:val="004312DC"/>
    <w:rPr>
      <w:b/>
      <w:bCs/>
      <w:sz w:val="20"/>
      <w:szCs w:val="20"/>
    </w:rPr>
  </w:style>
  <w:style w:type="paragraph" w:styleId="Caption">
    <w:name w:val="caption"/>
    <w:basedOn w:val="Normal"/>
    <w:next w:val="Normal"/>
    <w:uiPriority w:val="35"/>
    <w:unhideWhenUsed/>
    <w:qFormat/>
    <w:rsid w:val="009B6B4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7E5A4-CE60-456F-BEB0-DD9A90F1E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7</Pages>
  <Words>13564</Words>
  <Characters>77318</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Jordon Tourville</dc:creator>
  <cp:keywords/>
  <dc:description/>
  <cp:lastModifiedBy>Jordon Tourville</cp:lastModifiedBy>
  <cp:revision>8</cp:revision>
  <dcterms:created xsi:type="dcterms:W3CDTF">2021-11-04T15:07:00Z</dcterms:created>
  <dcterms:modified xsi:type="dcterms:W3CDTF">2021-11-05T18:29:00Z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3ac7e531-4cb5-38a0-a4a3-e5c116572862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