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478241A0" w14:textId="3331760D" w:rsidR="00A41CBE" w:rsidRDefault="00A41CBE" w:rsidP="00A41CBE">
      <w:pPr>
        <w:widowControl/>
        <w:jc w:val="center"/>
        <w:rPr>
          <w:rFonts w:ascii="Calibri Light" w:eastAsia="Calibri" w:hAnsi="Calibri Light" w:cs="Calibri Light"/>
          <w:b/>
          <w:sz w:val="24"/>
          <w:szCs w:val="24"/>
          <w:lang w:eastAsia="en-US"/>
        </w:rPr>
      </w:pPr>
      <w:r w:rsidRPr="00A41CBE">
        <w:rPr>
          <w:rFonts w:ascii="Calibri Light" w:eastAsia="Calibri" w:hAnsi="Calibri Light" w:cs="Calibri Light"/>
          <w:b/>
          <w:sz w:val="24"/>
          <w:szCs w:val="24"/>
          <w:lang w:eastAsia="en-US"/>
        </w:rPr>
        <w:t>Presence and Trophic Level of Freshwater Jellyfish (</w:t>
      </w:r>
      <w:r w:rsidRPr="00A41CBE">
        <w:rPr>
          <w:rFonts w:ascii="Calibri Light" w:eastAsia="Calibri" w:hAnsi="Calibri Light" w:cs="Calibri Light"/>
          <w:b/>
          <w:i/>
          <w:sz w:val="24"/>
          <w:szCs w:val="24"/>
          <w:lang w:eastAsia="en-US"/>
        </w:rPr>
        <w:t>Craspedacusta sowerbii</w:t>
      </w:r>
      <w:r w:rsidRPr="00A41CBE">
        <w:rPr>
          <w:rFonts w:ascii="Calibri Light" w:eastAsia="Calibri" w:hAnsi="Calibri Light" w:cs="Calibri Light"/>
          <w:b/>
          <w:sz w:val="24"/>
          <w:szCs w:val="24"/>
          <w:lang w:eastAsia="en-US"/>
        </w:rPr>
        <w:t>), a Cryptic Invader in the Hudson River Basin, NY</w:t>
      </w:r>
    </w:p>
    <w:p w14:paraId="32C23828" w14:textId="444E6F46" w:rsidR="00A41CBE" w:rsidRDefault="00A41CBE" w:rsidP="00A25859">
      <w:pPr>
        <w:widowControl/>
        <w:jc w:val="center"/>
        <w:rPr>
          <w:rFonts w:ascii="Calibri Light" w:eastAsia="Calibri" w:hAnsi="Calibri Light" w:cs="Calibri Light"/>
          <w:b/>
          <w:lang w:eastAsia="en-US"/>
        </w:rPr>
      </w:pPr>
      <w:r w:rsidRPr="00A41CBE">
        <w:rPr>
          <w:rFonts w:ascii="Calibri Light" w:eastAsia="Calibri" w:hAnsi="Calibri Light" w:cs="Calibri Light"/>
          <w:b/>
          <w:lang w:eastAsia="en-US"/>
        </w:rPr>
        <w:t>Jacob Moore</w:t>
      </w:r>
      <w:r w:rsidR="00EA6165">
        <w:rPr>
          <w:rFonts w:ascii="Calibri Light" w:eastAsia="Calibri" w:hAnsi="Calibri Light" w:cs="Calibri Light"/>
          <w:b/>
          <w:lang w:eastAsia="en-US"/>
        </w:rPr>
        <w:br/>
      </w:r>
      <w:r w:rsidR="00EA6165" w:rsidRPr="00EA6165">
        <w:rPr>
          <w:rFonts w:ascii="Calibri Light" w:eastAsia="Calibri" w:hAnsi="Calibri Light" w:cs="Calibri Light"/>
          <w:b/>
          <w:lang w:eastAsia="en-US"/>
        </w:rPr>
        <w:t>SUNY College of Environmental Science and Forestry</w:t>
      </w:r>
      <w:r w:rsidR="00EA6165">
        <w:rPr>
          <w:rFonts w:ascii="Calibri Light" w:eastAsia="Calibri" w:hAnsi="Calibri Light" w:cs="Calibri Light"/>
          <w:b/>
          <w:lang w:eastAsia="en-US"/>
        </w:rPr>
        <w:br/>
      </w:r>
      <w:r w:rsidR="00EA6165" w:rsidRPr="00EA6165">
        <w:rPr>
          <w:rFonts w:ascii="Calibri Light" w:eastAsia="Calibri" w:hAnsi="Calibri Light" w:cs="Calibri Light"/>
          <w:b/>
          <w:lang w:eastAsia="en-US"/>
        </w:rPr>
        <w:t>Final Report to the Edna Bailey Sussman Foundation</w:t>
      </w:r>
      <w:r w:rsidRPr="00A41CBE">
        <w:rPr>
          <w:rFonts w:ascii="Calibri Light" w:eastAsia="Calibri" w:hAnsi="Calibri Light" w:cs="Calibri Light"/>
          <w:b/>
          <w:lang w:eastAsia="en-US"/>
        </w:rPr>
        <w:br/>
      </w:r>
      <w:r w:rsidR="00A25859">
        <w:rPr>
          <w:rFonts w:ascii="Calibri Light" w:eastAsia="Calibri" w:hAnsi="Calibri Light" w:cs="Calibri Light"/>
          <w:b/>
          <w:lang w:eastAsia="en-US"/>
        </w:rPr>
        <w:t xml:space="preserve">Advisor: </w:t>
      </w:r>
      <w:r w:rsidRPr="00A41CBE">
        <w:rPr>
          <w:rFonts w:ascii="Calibri Light" w:eastAsia="Calibri" w:hAnsi="Calibri Light" w:cs="Calibri Light"/>
          <w:b/>
          <w:lang w:eastAsia="en-US"/>
        </w:rPr>
        <w:t>Dr. Donald J. Stewart</w:t>
      </w:r>
    </w:p>
    <w:p w14:paraId="25F95781" w14:textId="77777777" w:rsidR="00371D17" w:rsidRPr="00322FE9" w:rsidRDefault="00371D17" w:rsidP="00EA6165">
      <w:pPr>
        <w:pStyle w:val="Heading1"/>
        <w:spacing w:line="240" w:lineRule="auto"/>
        <w:rPr>
          <w:rStyle w:val="Strong"/>
          <w:sz w:val="28"/>
          <w:szCs w:val="28"/>
        </w:rPr>
      </w:pPr>
      <w:bookmarkStart w:id="0" w:name="_Hlk27764164"/>
      <w:r w:rsidRPr="00322FE9">
        <w:rPr>
          <w:b/>
          <w:color w:val="auto"/>
          <w:sz w:val="28"/>
          <w:szCs w:val="28"/>
        </w:rPr>
        <w:t>Introduction</w:t>
      </w:r>
    </w:p>
    <w:bookmarkEnd w:id="0"/>
    <w:p w14:paraId="07CFFC8E" w14:textId="0A468355" w:rsidR="00371D17" w:rsidRPr="00EA6165" w:rsidRDefault="00371D17" w:rsidP="00EA6165">
      <w:pPr>
        <w:spacing w:line="240" w:lineRule="auto"/>
        <w:ind w:firstLine="720"/>
        <w:jc w:val="left"/>
        <w:rPr>
          <w:rFonts w:cstheme="minorHAnsi"/>
        </w:rPr>
      </w:pPr>
      <w:r w:rsidRPr="007C1D5F">
        <w:rPr>
          <w:rFonts w:cstheme="minorHAnsi"/>
        </w:rPr>
        <w:t>Invasive species represent a growing threat to aquatic resources, displacing native species and altering ecological processes. Invasive impacts on native species radiate out to people who have social or economic investment in native systems</w:t>
      </w:r>
      <w:r w:rsidR="00EA6165">
        <w:rPr>
          <w:rFonts w:cstheme="minorHAnsi"/>
        </w:rPr>
        <w:t xml:space="preserve"> </w:t>
      </w:r>
      <w:r w:rsidRPr="007C1D5F">
        <w:rPr>
          <w:rFonts w:cstheme="minorHAnsi"/>
        </w:rPr>
        <w:t>(</w:t>
      </w:r>
      <w:proofErr w:type="spellStart"/>
      <w:r w:rsidRPr="007C1D5F">
        <w:rPr>
          <w:rFonts w:cstheme="minorHAnsi"/>
        </w:rPr>
        <w:t>Pejchar</w:t>
      </w:r>
      <w:proofErr w:type="spellEnd"/>
      <w:r w:rsidRPr="007C1D5F">
        <w:rPr>
          <w:rFonts w:cstheme="minorHAnsi"/>
        </w:rPr>
        <w:t xml:space="preserve"> and Mooney, 2009).</w:t>
      </w:r>
      <w:r>
        <w:rPr>
          <w:rFonts w:cstheme="minorHAnsi"/>
        </w:rPr>
        <w:t xml:space="preserve"> To combat these negative effects, scientists, managers, and citizens have invested significant finances and time in invasive species-focused programs. The Freshwater Jellyfish (</w:t>
      </w:r>
      <w:bookmarkStart w:id="1" w:name="_Hlk29564376"/>
      <w:proofErr w:type="spellStart"/>
      <w:r>
        <w:rPr>
          <w:rFonts w:cstheme="minorHAnsi"/>
          <w:i/>
        </w:rPr>
        <w:t>Craspedacusta</w:t>
      </w:r>
      <w:proofErr w:type="spellEnd"/>
      <w:r>
        <w:rPr>
          <w:rFonts w:cstheme="minorHAnsi"/>
          <w:i/>
        </w:rPr>
        <w:t xml:space="preserve"> sowerbii</w:t>
      </w:r>
      <w:bookmarkEnd w:id="1"/>
      <w:r>
        <w:rPr>
          <w:rFonts w:cstheme="minorHAnsi"/>
        </w:rPr>
        <w:t xml:space="preserve">) is </w:t>
      </w:r>
      <w:r>
        <w:t xml:space="preserve">an </w:t>
      </w:r>
      <w:r w:rsidR="00EA6165">
        <w:t>invasive species</w:t>
      </w:r>
      <w:r>
        <w:t xml:space="preserve"> originating from the Yangtze River Basin, </w:t>
      </w:r>
      <w:r w:rsidRPr="00FB7466">
        <w:t>China</w:t>
      </w:r>
      <w:r>
        <w:t xml:space="preserve"> (Dumont</w:t>
      </w:r>
      <w:r w:rsidRPr="00FB7466">
        <w:t>,</w:t>
      </w:r>
      <w:r>
        <w:t xml:space="preserve"> 1994)</w:t>
      </w:r>
      <w:r w:rsidRPr="009D5FD2">
        <w:t>.</w:t>
      </w:r>
      <w:r>
        <w:t xml:space="preserve"> Freshwater Jellyfish are not true jellyfish but exhibit similar life stages, including a sessile polyp and free-swimming medusa stage (DeVries, 1992). </w:t>
      </w:r>
    </w:p>
    <w:p w14:paraId="559B4846" w14:textId="2B15F5D3" w:rsidR="00371D17" w:rsidRPr="00911983" w:rsidRDefault="00371D17" w:rsidP="005243AF">
      <w:pPr>
        <w:spacing w:line="240" w:lineRule="auto"/>
        <w:ind w:firstLine="720"/>
        <w:jc w:val="left"/>
        <w:rPr>
          <w:rFonts w:asciiTheme="majorHAnsi" w:hAnsiTheme="majorHAnsi" w:cstheme="majorHAnsi"/>
        </w:rPr>
      </w:pPr>
      <w:r>
        <w:t xml:space="preserve">Most knowledge on the ecology and occurrence of </w:t>
      </w:r>
      <w:r>
        <w:rPr>
          <w:i/>
        </w:rPr>
        <w:t xml:space="preserve">C. sowerbii </w:t>
      </w:r>
      <w:r>
        <w:t>is derived from observation</w:t>
      </w:r>
      <w:r w:rsidRPr="00FB7466">
        <w:t>s</w:t>
      </w:r>
      <w:r>
        <w:t xml:space="preserve"> of the larger medusae, rather than the </w:t>
      </w:r>
      <w:r w:rsidR="00D91A8A">
        <w:t>tiny</w:t>
      </w:r>
      <w:r>
        <w:t xml:space="preserve"> polyp stage (</w:t>
      </w:r>
      <w:r w:rsidRPr="008014C5">
        <w:t>Jankowski</w:t>
      </w:r>
      <w:r>
        <w:t xml:space="preserve">, </w:t>
      </w:r>
      <w:r w:rsidRPr="008014C5">
        <w:t>2001</w:t>
      </w:r>
      <w:r>
        <w:t xml:space="preserve">). However, formation of </w:t>
      </w:r>
      <w:r>
        <w:rPr>
          <w:i/>
        </w:rPr>
        <w:t>C. sowerbii</w:t>
      </w:r>
      <w:r w:rsidRPr="00203BA0">
        <w:t xml:space="preserve"> </w:t>
      </w:r>
      <w:r>
        <w:t>medusae in a system is sporadic and unpredictable</w:t>
      </w:r>
      <w:r w:rsidR="00D91A8A">
        <w:t xml:space="preserve">, and </w:t>
      </w:r>
      <w:r w:rsidR="00E07C61" w:rsidRPr="00E07C61">
        <w:rPr>
          <w:iCs/>
        </w:rPr>
        <w:t>the species</w:t>
      </w:r>
      <w:r>
        <w:t xml:space="preserve"> </w:t>
      </w:r>
      <w:r w:rsidR="00D91A8A">
        <w:t xml:space="preserve">may </w:t>
      </w:r>
      <w:r>
        <w:t xml:space="preserve">exist </w:t>
      </w:r>
      <w:r w:rsidR="00D91A8A">
        <w:t>only as</w:t>
      </w:r>
      <w:r>
        <w:t xml:space="preserve"> polyp</w:t>
      </w:r>
      <w:r w:rsidR="00D91A8A">
        <w:t>s for years before they are reported</w:t>
      </w:r>
      <w:r>
        <w:t xml:space="preserve"> (Dumont, 1994)</w:t>
      </w:r>
      <w:r w:rsidRPr="00203BA0">
        <w:t>.</w:t>
      </w:r>
      <w:r>
        <w:t xml:space="preserve"> Therefore, </w:t>
      </w:r>
      <w:r>
        <w:rPr>
          <w:i/>
        </w:rPr>
        <w:t xml:space="preserve">C. sowerbii </w:t>
      </w:r>
      <w:r w:rsidR="00E07C61">
        <w:t>have</w:t>
      </w:r>
      <w:r>
        <w:t xml:space="preserve"> most likely invaded significantly more freshwater systems than presently recorded</w:t>
      </w:r>
      <w:r w:rsidR="00E07C61">
        <w:t>.</w:t>
      </w:r>
      <w:r>
        <w:t xml:space="preserve"> </w:t>
      </w:r>
      <w:r w:rsidR="00E21F2F">
        <w:t>R</w:t>
      </w:r>
      <w:r w:rsidRPr="009D5FD2">
        <w:t>elatively few studies have been co</w:t>
      </w:r>
      <w:r>
        <w:t>nducted on the ecology</w:t>
      </w:r>
      <w:r w:rsidRPr="009D5FD2">
        <w:t xml:space="preserve"> of Freshwater Jellyfish</w:t>
      </w:r>
      <w:r>
        <w:t xml:space="preserve">, </w:t>
      </w:r>
      <w:r w:rsidR="00E21F2F">
        <w:t xml:space="preserve">but feeding experiments and gut-content analyses suggest </w:t>
      </w:r>
      <w:r w:rsidR="00BB5C9A">
        <w:t xml:space="preserve">that the species demonstrates size-selective feeding on zooplankton, and that could shift relative dominance among plankton taxa in a native community </w:t>
      </w:r>
      <w:r w:rsidR="007E0285">
        <w:t>(</w:t>
      </w:r>
      <w:proofErr w:type="spellStart"/>
      <w:r w:rsidR="00BB5C9A">
        <w:t>Spadinger</w:t>
      </w:r>
      <w:proofErr w:type="spellEnd"/>
      <w:r w:rsidR="00BB5C9A">
        <w:t xml:space="preserve"> and Meier, 1999; </w:t>
      </w:r>
      <w:bookmarkStart w:id="2" w:name="_Hlk29563561"/>
      <w:r w:rsidR="00BB5C9A" w:rsidRPr="00C51CC1">
        <w:t>Smith</w:t>
      </w:r>
      <w:r w:rsidR="00BB5C9A">
        <w:t xml:space="preserve"> and Alexander Jr., </w:t>
      </w:r>
      <w:r w:rsidR="00BB5C9A" w:rsidRPr="00C51CC1">
        <w:t>2008</w:t>
      </w:r>
      <w:bookmarkEnd w:id="2"/>
      <w:r w:rsidR="00BB5C9A">
        <w:t xml:space="preserve">). </w:t>
      </w:r>
      <w:r w:rsidR="00E07C61">
        <w:t>Prior research</w:t>
      </w:r>
      <w:r w:rsidR="00D93AA8">
        <w:t xml:space="preserve"> demonstrated that </w:t>
      </w:r>
      <w:r w:rsidR="00D93AA8">
        <w:rPr>
          <w:i/>
          <w:iCs/>
        </w:rPr>
        <w:t xml:space="preserve">C. sowerbii </w:t>
      </w:r>
      <w:proofErr w:type="gramStart"/>
      <w:r w:rsidR="00D93AA8">
        <w:t>is capable of killing</w:t>
      </w:r>
      <w:proofErr w:type="gramEnd"/>
      <w:r w:rsidR="00D93AA8">
        <w:t xml:space="preserve"> and eating larval fishes, though it is currently unknown if medusae are significant predators of fish </w:t>
      </w:r>
      <w:r>
        <w:t>(Dendy, 1978; Dodson and Cooper, 1983</w:t>
      </w:r>
      <w:r w:rsidR="007E0285">
        <w:t>)</w:t>
      </w:r>
      <w:r>
        <w:t>.</w:t>
      </w:r>
      <w:r w:rsidR="00D93AA8">
        <w:t xml:space="preserve"> </w:t>
      </w:r>
      <w:r>
        <w:t xml:space="preserve">Although their ecological role is currently uncertain, </w:t>
      </w:r>
      <w:r>
        <w:rPr>
          <w:i/>
        </w:rPr>
        <w:t>C. sowerbii</w:t>
      </w:r>
      <w:r>
        <w:t xml:space="preserve"> have the potential to disrupt </w:t>
      </w:r>
      <w:r w:rsidR="00E07C61">
        <w:t xml:space="preserve">invaded </w:t>
      </w:r>
      <w:r w:rsidR="00D93AA8">
        <w:t>food webs</w:t>
      </w:r>
      <w:r w:rsidR="00E07C61">
        <w:t>.</w:t>
      </w:r>
      <w:r>
        <w:t xml:space="preserve"> </w:t>
      </w:r>
    </w:p>
    <w:p w14:paraId="7E63D6A8" w14:textId="76BD71FB" w:rsidR="00371D17" w:rsidRPr="005243AF" w:rsidRDefault="00371D17" w:rsidP="005243AF">
      <w:pPr>
        <w:spacing w:line="240" w:lineRule="auto"/>
        <w:jc w:val="left"/>
        <w:rPr>
          <w:rFonts w:cstheme="minorHAnsi"/>
        </w:rPr>
      </w:pPr>
      <w:r>
        <w:rPr>
          <w:rFonts w:asciiTheme="majorHAnsi" w:hAnsiTheme="majorHAnsi" w:cstheme="majorHAnsi"/>
        </w:rPr>
        <w:tab/>
      </w:r>
      <w:r w:rsidRPr="0057355F">
        <w:rPr>
          <w:rFonts w:cstheme="minorHAnsi"/>
        </w:rPr>
        <w:t>In New York State</w:t>
      </w:r>
      <w:r>
        <w:rPr>
          <w:rFonts w:cstheme="minorHAnsi"/>
        </w:rPr>
        <w:t xml:space="preserve"> (NYS)</w:t>
      </w:r>
      <w:r w:rsidRPr="0057355F">
        <w:rPr>
          <w:rFonts w:cstheme="minorHAnsi"/>
        </w:rPr>
        <w:t xml:space="preserve">, there have been reports of </w:t>
      </w:r>
      <w:r>
        <w:rPr>
          <w:rFonts w:cstheme="minorHAnsi"/>
        </w:rPr>
        <w:t>F</w:t>
      </w:r>
      <w:r w:rsidRPr="0057355F">
        <w:rPr>
          <w:rFonts w:cstheme="minorHAnsi"/>
        </w:rPr>
        <w:t xml:space="preserve">reshwater </w:t>
      </w:r>
      <w:r>
        <w:rPr>
          <w:rFonts w:cstheme="minorHAnsi"/>
        </w:rPr>
        <w:t>J</w:t>
      </w:r>
      <w:r w:rsidRPr="0057355F">
        <w:rPr>
          <w:rFonts w:cstheme="minorHAnsi"/>
        </w:rPr>
        <w:t>ellyfish in over 10</w:t>
      </w:r>
      <w:r>
        <w:rPr>
          <w:rFonts w:cstheme="minorHAnsi"/>
        </w:rPr>
        <w:t>0 different systems (</w:t>
      </w:r>
      <w:proofErr w:type="spellStart"/>
      <w:r>
        <w:rPr>
          <w:rFonts w:cstheme="minorHAnsi"/>
        </w:rPr>
        <w:t>Peard</w:t>
      </w:r>
      <w:proofErr w:type="spellEnd"/>
      <w:r>
        <w:rPr>
          <w:rFonts w:cstheme="minorHAnsi"/>
        </w:rPr>
        <w:t>, 2018</w:t>
      </w:r>
      <w:r w:rsidRPr="0057355F">
        <w:rPr>
          <w:rFonts w:cstheme="minorHAnsi"/>
        </w:rPr>
        <w:t>)</w:t>
      </w:r>
      <w:r>
        <w:rPr>
          <w:rFonts w:cstheme="minorHAnsi"/>
        </w:rPr>
        <w:t xml:space="preserve">. Despite the widespread occurrence of </w:t>
      </w:r>
      <w:r>
        <w:rPr>
          <w:rFonts w:cstheme="minorHAnsi"/>
          <w:i/>
        </w:rPr>
        <w:t xml:space="preserve">C. sowerbii </w:t>
      </w:r>
      <w:r>
        <w:rPr>
          <w:rFonts w:cstheme="minorHAnsi"/>
        </w:rPr>
        <w:t xml:space="preserve">in NYS, </w:t>
      </w:r>
      <w:r w:rsidR="005243AF">
        <w:rPr>
          <w:rFonts w:cstheme="minorHAnsi"/>
        </w:rPr>
        <w:t xml:space="preserve">species information is not </w:t>
      </w:r>
      <w:r>
        <w:rPr>
          <w:rFonts w:cstheme="minorHAnsi"/>
        </w:rPr>
        <w:t>found on the NYS Department of Environmental Conservation website (NYSDEC</w:t>
      </w:r>
      <w:r w:rsidR="00481070">
        <w:rPr>
          <w:rFonts w:cstheme="minorHAnsi"/>
        </w:rPr>
        <w:t>,</w:t>
      </w:r>
      <w:r>
        <w:rPr>
          <w:rFonts w:cstheme="minorHAnsi"/>
        </w:rPr>
        <w:t xml:space="preserve"> 2019). </w:t>
      </w:r>
      <w:r>
        <w:t xml:space="preserve">Presently, </w:t>
      </w:r>
      <w:r>
        <w:rPr>
          <w:i/>
        </w:rPr>
        <w:t>C. sowerbii</w:t>
      </w:r>
      <w:r>
        <w:t xml:space="preserve"> is understudied by scientists, and its spread is unchecked by managers; it most likely will continue to spread and impact additional lake ecosystems as increasingly warm summer temperatures </w:t>
      </w:r>
      <w:r w:rsidR="00C5067D">
        <w:t>opens</w:t>
      </w:r>
      <w:r>
        <w:t xml:space="preserve"> new niches for the species.</w:t>
      </w:r>
    </w:p>
    <w:p w14:paraId="17AA1A2E" w14:textId="77777777" w:rsidR="00371D17" w:rsidRPr="002F2E9F" w:rsidRDefault="00371D17" w:rsidP="00EA6165">
      <w:pPr>
        <w:pStyle w:val="Heading2"/>
        <w:spacing w:line="240" w:lineRule="auto"/>
        <w:rPr>
          <w:rFonts w:cstheme="majorHAnsi"/>
          <w:i/>
          <w:sz w:val="24"/>
        </w:rPr>
      </w:pPr>
      <w:r w:rsidRPr="002F2E9F">
        <w:rPr>
          <w:i/>
          <w:color w:val="auto"/>
          <w:sz w:val="24"/>
        </w:rPr>
        <w:t>Study Objectives</w:t>
      </w:r>
    </w:p>
    <w:p w14:paraId="6A06DF28" w14:textId="299444E8" w:rsidR="00371D17" w:rsidRDefault="00371D17" w:rsidP="00554BFE">
      <w:pPr>
        <w:spacing w:line="240" w:lineRule="auto"/>
        <w:ind w:firstLine="720"/>
        <w:jc w:val="left"/>
      </w:pPr>
      <w:r>
        <w:t xml:space="preserve">My first study objective </w:t>
      </w:r>
      <w:r w:rsidR="00A25859">
        <w:t>wa</w:t>
      </w:r>
      <w:r>
        <w:t xml:space="preserve">s to </w:t>
      </w:r>
      <w:r w:rsidR="00A21903">
        <w:t xml:space="preserve">test new </w:t>
      </w:r>
      <w:r>
        <w:t>detection methods for Freshwater Jellyfis</w:t>
      </w:r>
      <w:r w:rsidR="00A21903">
        <w:t>h</w:t>
      </w:r>
      <w:r>
        <w:t xml:space="preserve">. One emerging technology that circumvents </w:t>
      </w:r>
      <w:r w:rsidR="00554BFE">
        <w:t xml:space="preserve">the sporadic nature of </w:t>
      </w:r>
      <w:r w:rsidR="00554BFE">
        <w:rPr>
          <w:i/>
          <w:iCs/>
        </w:rPr>
        <w:t xml:space="preserve">C. </w:t>
      </w:r>
      <w:r w:rsidR="00554BFE" w:rsidRPr="00554BFE">
        <w:rPr>
          <w:i/>
          <w:iCs/>
        </w:rPr>
        <w:t>sowerbii</w:t>
      </w:r>
      <w:r w:rsidR="00554BFE">
        <w:t xml:space="preserve"> </w:t>
      </w:r>
      <w:r>
        <w:t xml:space="preserve">is the use of environmental DNA (eDNA) to detect free-floating genomic materials in water </w:t>
      </w:r>
      <w:r w:rsidR="00A25859">
        <w:t xml:space="preserve">or sediment </w:t>
      </w:r>
      <w:r>
        <w:t>for otherwise cryptic or rare invasive species</w:t>
      </w:r>
      <w:r w:rsidR="0040548A">
        <w:t xml:space="preserve"> (Rees et al., 2014)</w:t>
      </w:r>
      <w:r>
        <w:t xml:space="preserve">. </w:t>
      </w:r>
      <w:r w:rsidR="007E0285">
        <w:t>B</w:t>
      </w:r>
      <w:r w:rsidRPr="00082B3C">
        <w:t>y</w:t>
      </w:r>
      <w:r>
        <w:t xml:space="preserve"> using available sequences and tools from GenBank, </w:t>
      </w:r>
      <w:r w:rsidR="006B0749">
        <w:t>we</w:t>
      </w:r>
      <w:r>
        <w:t xml:space="preserve"> have developed DNA primers</w:t>
      </w:r>
      <w:r w:rsidR="006B0749">
        <w:t xml:space="preserve"> </w:t>
      </w:r>
      <w:r w:rsidR="006B0749">
        <w:t>(see below)</w:t>
      </w:r>
      <w:r w:rsidR="006B0749">
        <w:t xml:space="preserve"> </w:t>
      </w:r>
      <w:r>
        <w:t xml:space="preserve">suitable for detecting eDNA from </w:t>
      </w:r>
      <w:r>
        <w:rPr>
          <w:i/>
        </w:rPr>
        <w:t>C. sowerbii</w:t>
      </w:r>
      <w:r>
        <w:t xml:space="preserve"> </w:t>
      </w:r>
      <w:r w:rsidR="00554BFE" w:rsidRPr="00554BFE">
        <w:t>(</w:t>
      </w:r>
      <w:r w:rsidR="00554BFE" w:rsidRPr="00554BFE">
        <w:rPr>
          <w:i/>
        </w:rPr>
        <w:t>GenBank</w:t>
      </w:r>
      <w:r w:rsidR="00554BFE" w:rsidRPr="00554BFE">
        <w:t>, 2019).</w:t>
      </w:r>
      <w:r w:rsidR="00554BFE">
        <w:t xml:space="preserve"> </w:t>
      </w:r>
      <w:r w:rsidR="00A25859">
        <w:t xml:space="preserve">Species-specific sensitivity tests were conducted to reduce the risk of false positives in environmental samples. </w:t>
      </w:r>
    </w:p>
    <w:p w14:paraId="761057DD" w14:textId="5DFA48E6" w:rsidR="00371D17" w:rsidRPr="003F3FB5" w:rsidRDefault="00A25859" w:rsidP="00EA6165">
      <w:pPr>
        <w:spacing w:line="240" w:lineRule="auto"/>
        <w:jc w:val="left"/>
        <w:rPr>
          <w:rFonts w:asciiTheme="majorHAnsi" w:hAnsiTheme="majorHAnsi" w:cstheme="majorHAnsi"/>
          <w:noProof/>
        </w:rPr>
      </w:pPr>
      <w:r>
        <w:rPr>
          <w:rFonts w:asciiTheme="majorHAnsi" w:hAnsiTheme="majorHAnsi" w:cstheme="majorHAnsi"/>
          <w:noProof/>
        </w:rPr>
        <w:t xml:space="preserve">Forward Primer: </w:t>
      </w:r>
      <w:r w:rsidRPr="00A25859">
        <w:rPr>
          <w:rFonts w:asciiTheme="majorHAnsi" w:hAnsiTheme="majorHAnsi" w:cstheme="majorHAnsi"/>
          <w:noProof/>
        </w:rPr>
        <w:t>5'- GAA TCA GAA TAG GTG CTG ATA GAG AAT C -3'</w:t>
      </w:r>
      <w:r w:rsidR="00246336">
        <w:rPr>
          <w:rFonts w:asciiTheme="majorHAnsi" w:hAnsiTheme="majorHAnsi" w:cstheme="majorHAnsi"/>
          <w:noProof/>
        </w:rPr>
        <w:t xml:space="preserve">  </w:t>
      </w:r>
      <w:r w:rsidR="00246336">
        <w:rPr>
          <w:rFonts w:asciiTheme="majorHAnsi" w:hAnsiTheme="majorHAnsi" w:cstheme="majorHAnsi"/>
          <w:noProof/>
        </w:rPr>
        <w:br/>
      </w:r>
      <w:r>
        <w:rPr>
          <w:rFonts w:asciiTheme="majorHAnsi" w:hAnsiTheme="majorHAnsi" w:cstheme="majorHAnsi"/>
          <w:noProof/>
        </w:rPr>
        <w:t xml:space="preserve">Reverse Primer: </w:t>
      </w:r>
      <w:r w:rsidRPr="00A25859">
        <w:rPr>
          <w:rFonts w:asciiTheme="majorHAnsi" w:hAnsiTheme="majorHAnsi" w:cstheme="majorHAnsi"/>
          <w:noProof/>
        </w:rPr>
        <w:t>5'- CTA ATC ACG GCC TTC CTT CTG G -3'</w:t>
      </w:r>
    </w:p>
    <w:p w14:paraId="6C07A2DB" w14:textId="48B50BC9" w:rsidR="00371D17" w:rsidRPr="00691756" w:rsidRDefault="00371D17" w:rsidP="00EA6165">
      <w:pPr>
        <w:spacing w:line="240" w:lineRule="auto"/>
        <w:ind w:firstLine="720"/>
        <w:jc w:val="left"/>
      </w:pPr>
      <w:r>
        <w:t xml:space="preserve">My second study objective </w:t>
      </w:r>
      <w:r w:rsidR="00554BFE">
        <w:t>wa</w:t>
      </w:r>
      <w:r>
        <w:t xml:space="preserve">s to apply new methods to investigate the ecological role of </w:t>
      </w:r>
      <w:r>
        <w:rPr>
          <w:i/>
        </w:rPr>
        <w:t>C. sowerbii</w:t>
      </w:r>
      <w:r>
        <w:t xml:space="preserve"> in invaded systems. Past research has focused on gut content analyses </w:t>
      </w:r>
      <w:r>
        <w:lastRenderedPageBreak/>
        <w:t>and feeding experiments of medusae</w:t>
      </w:r>
      <w:r w:rsidR="007E0285">
        <w:t>.</w:t>
      </w:r>
      <w:r>
        <w:t xml:space="preserve"> Stable isotope analyses of different trophic levels in a system allows scientists to assess relatively longer-term dietary behavior of animals in their natural habitat (Hamilton et al., 1992).</w:t>
      </w:r>
    </w:p>
    <w:p w14:paraId="7BFFA936" w14:textId="77777777" w:rsidR="00371D17" w:rsidRPr="00322FE9" w:rsidRDefault="00371D17" w:rsidP="00EA6165">
      <w:pPr>
        <w:pStyle w:val="Heading1"/>
        <w:spacing w:line="240" w:lineRule="auto"/>
        <w:rPr>
          <w:rStyle w:val="Strong"/>
          <w:bCs w:val="0"/>
          <w:color w:val="auto"/>
          <w:sz w:val="28"/>
          <w:szCs w:val="28"/>
        </w:rPr>
      </w:pPr>
      <w:r w:rsidRPr="00322FE9">
        <w:rPr>
          <w:rStyle w:val="Strong"/>
          <w:color w:val="auto"/>
          <w:sz w:val="28"/>
          <w:szCs w:val="28"/>
        </w:rPr>
        <w:t>Methods</w:t>
      </w:r>
    </w:p>
    <w:p w14:paraId="1A0B6DFD" w14:textId="77777777" w:rsidR="00371D17" w:rsidRPr="001623F8" w:rsidRDefault="00371D17" w:rsidP="00EA6165">
      <w:pPr>
        <w:pStyle w:val="Heading2"/>
        <w:spacing w:line="240" w:lineRule="auto"/>
        <w:rPr>
          <w:i/>
          <w:sz w:val="22"/>
          <w:szCs w:val="24"/>
        </w:rPr>
      </w:pPr>
      <w:r w:rsidRPr="001623F8">
        <w:rPr>
          <w:i/>
          <w:color w:val="auto"/>
          <w:sz w:val="22"/>
          <w:szCs w:val="24"/>
        </w:rPr>
        <w:t>Field Sampling</w:t>
      </w:r>
    </w:p>
    <w:p w14:paraId="526985C5" w14:textId="3E363938" w:rsidR="00634289" w:rsidRDefault="00584911" w:rsidP="00634289">
      <w:pPr>
        <w:keepNext/>
        <w:spacing w:line="240" w:lineRule="auto"/>
        <w:ind w:firstLine="720"/>
        <w:jc w:val="left"/>
      </w:pPr>
      <w:r>
        <w:t>Ten lakes within the Hudson River watershed were selected for this study (Figure 1)</w:t>
      </w:r>
      <w:r w:rsidR="00634289">
        <w:t xml:space="preserve">, as 42 sites in the area have already reported sightings of </w:t>
      </w:r>
      <w:r w:rsidR="00634289">
        <w:rPr>
          <w:i/>
          <w:iCs/>
        </w:rPr>
        <w:t>Craspedacusta sowerbii</w:t>
      </w:r>
      <w:r w:rsidR="00634289">
        <w:t>. Five sites were in northern Adirondack areas, and five were located within</w:t>
      </w:r>
      <w:r w:rsidR="00634289">
        <w:rPr>
          <w:noProof/>
        </w:rPr>
        <w:t xml:space="preserve"> southern areas.</w:t>
      </w:r>
      <w:r w:rsidR="00634289" w:rsidRPr="00634289">
        <w:rPr>
          <w:noProof/>
        </w:rPr>
        <w:drawing>
          <wp:inline distT="0" distB="0" distL="0" distR="0" wp14:anchorId="5116C118" wp14:editId="66E2F021">
            <wp:extent cx="4152900" cy="2510939"/>
            <wp:effectExtent l="19050" t="19050" r="19050" b="228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215564" cy="2548827"/>
                    </a:xfrm>
                    <a:prstGeom prst="rect">
                      <a:avLst/>
                    </a:prstGeom>
                    <a:noFill/>
                    <a:ln>
                      <a:solidFill>
                        <a:schemeClr val="tx1"/>
                      </a:solidFill>
                    </a:ln>
                  </pic:spPr>
                </pic:pic>
              </a:graphicData>
            </a:graphic>
          </wp:inline>
        </w:drawing>
      </w:r>
    </w:p>
    <w:p w14:paraId="17A74EE8" w14:textId="11E8A9CB" w:rsidR="00584911" w:rsidRPr="00634289" w:rsidRDefault="00634289" w:rsidP="00634289">
      <w:pPr>
        <w:pStyle w:val="Caption"/>
        <w:jc w:val="left"/>
        <w:rPr>
          <w:b/>
          <w:bCs/>
          <w:i w:val="0"/>
          <w:iCs w:val="0"/>
          <w:color w:val="auto"/>
          <w:sz w:val="20"/>
          <w:szCs w:val="20"/>
        </w:rPr>
      </w:pPr>
      <w:r w:rsidRPr="00634289">
        <w:rPr>
          <w:b/>
          <w:bCs/>
          <w:i w:val="0"/>
          <w:iCs w:val="0"/>
          <w:color w:val="auto"/>
          <w:sz w:val="20"/>
          <w:szCs w:val="20"/>
        </w:rPr>
        <w:t xml:space="preserve">Figure </w:t>
      </w:r>
      <w:r w:rsidRPr="00634289">
        <w:rPr>
          <w:b/>
          <w:bCs/>
          <w:i w:val="0"/>
          <w:iCs w:val="0"/>
          <w:color w:val="auto"/>
          <w:sz w:val="20"/>
          <w:szCs w:val="20"/>
        </w:rPr>
        <w:fldChar w:fldCharType="begin"/>
      </w:r>
      <w:r w:rsidRPr="00634289">
        <w:rPr>
          <w:b/>
          <w:bCs/>
          <w:i w:val="0"/>
          <w:iCs w:val="0"/>
          <w:color w:val="auto"/>
          <w:sz w:val="20"/>
          <w:szCs w:val="20"/>
        </w:rPr>
        <w:instrText xml:space="preserve"> SEQ Figure \* ARABIC </w:instrText>
      </w:r>
      <w:r w:rsidRPr="00634289">
        <w:rPr>
          <w:b/>
          <w:bCs/>
          <w:i w:val="0"/>
          <w:iCs w:val="0"/>
          <w:color w:val="auto"/>
          <w:sz w:val="20"/>
          <w:szCs w:val="20"/>
        </w:rPr>
        <w:fldChar w:fldCharType="separate"/>
      </w:r>
      <w:r w:rsidR="00AD4FB0">
        <w:rPr>
          <w:b/>
          <w:bCs/>
          <w:i w:val="0"/>
          <w:iCs w:val="0"/>
          <w:noProof/>
          <w:color w:val="auto"/>
          <w:sz w:val="20"/>
          <w:szCs w:val="20"/>
        </w:rPr>
        <w:t>1</w:t>
      </w:r>
      <w:r w:rsidRPr="00634289">
        <w:rPr>
          <w:b/>
          <w:bCs/>
          <w:i w:val="0"/>
          <w:iCs w:val="0"/>
          <w:color w:val="auto"/>
          <w:sz w:val="20"/>
          <w:szCs w:val="20"/>
        </w:rPr>
        <w:fldChar w:fldCharType="end"/>
      </w:r>
      <w:r w:rsidRPr="00634289">
        <w:rPr>
          <w:b/>
          <w:bCs/>
          <w:i w:val="0"/>
          <w:iCs w:val="0"/>
          <w:color w:val="auto"/>
          <w:sz w:val="20"/>
          <w:szCs w:val="20"/>
        </w:rPr>
        <w:t>: Field Sites for 2019 sampling season in the Hudson River Watershed</w:t>
      </w:r>
    </w:p>
    <w:p w14:paraId="43872FA4" w14:textId="2F0D1F37" w:rsidR="00371D17" w:rsidRDefault="00AD64B2" w:rsidP="00322FE9">
      <w:pPr>
        <w:spacing w:line="240" w:lineRule="auto"/>
        <w:ind w:firstLine="720"/>
        <w:jc w:val="left"/>
      </w:pPr>
      <w:r>
        <w:t>From</w:t>
      </w:r>
      <w:r w:rsidR="004C4925">
        <w:t xml:space="preserve"> late June</w:t>
      </w:r>
      <w:r>
        <w:t xml:space="preserve"> – e</w:t>
      </w:r>
      <w:r w:rsidR="004C4925">
        <w:t>arly July 2019</w:t>
      </w:r>
      <w:r>
        <w:t>,</w:t>
      </w:r>
      <w:r w:rsidR="004C4925">
        <w:t xml:space="preserve"> each site was revisited to </w:t>
      </w:r>
      <w:r w:rsidR="00955DF8">
        <w:t xml:space="preserve">collect samples and deploy Hester-Dendy settlement plate samplers. </w:t>
      </w:r>
      <w:r w:rsidR="00955DF8" w:rsidRPr="00955DF8">
        <w:t xml:space="preserve">These </w:t>
      </w:r>
      <w:r w:rsidR="00955DF8">
        <w:t xml:space="preserve">15x15 square </w:t>
      </w:r>
      <w:r w:rsidR="00955DF8" w:rsidRPr="00955DF8">
        <w:t xml:space="preserve">settling plates </w:t>
      </w:r>
      <w:r w:rsidR="00955DF8">
        <w:t>we</w:t>
      </w:r>
      <w:r w:rsidR="00955DF8" w:rsidRPr="00955DF8">
        <w:t xml:space="preserve">re constructed based on a design tested successfully in the </w:t>
      </w:r>
      <w:r w:rsidRPr="00955DF8">
        <w:t xml:space="preserve">field </w:t>
      </w:r>
      <w:r w:rsidR="00955DF8" w:rsidRPr="00955DF8">
        <w:t xml:space="preserve">(Dr. Terry </w:t>
      </w:r>
      <w:proofErr w:type="spellStart"/>
      <w:r w:rsidR="00955DF8" w:rsidRPr="00955DF8">
        <w:t>Peard</w:t>
      </w:r>
      <w:proofErr w:type="spellEnd"/>
      <w:r w:rsidR="00955DF8" w:rsidRPr="00955DF8">
        <w:t xml:space="preserve">, personal communication). </w:t>
      </w:r>
      <w:r w:rsidR="00955DF8">
        <w:t xml:space="preserve">Three plate samplers were deployed at each site and georeferenced. Plankton nets of 20 </w:t>
      </w:r>
      <w:r w:rsidR="009F2907">
        <w:t>µ</w:t>
      </w:r>
      <w:r w:rsidR="00955DF8">
        <w:t xml:space="preserve">m and 750 </w:t>
      </w:r>
      <w:r w:rsidR="009F2907">
        <w:t>µ</w:t>
      </w:r>
      <w:r w:rsidR="00955DF8">
        <w:t xml:space="preserve">m mesh size were towed off the side of a canoe at 1.5 m depth for 5-10 minutes to collect plankton, fish larvae, and any medusae present. </w:t>
      </w:r>
      <w:r w:rsidR="009F2907">
        <w:t xml:space="preserve">Fish larvae and medusae density was measured in the 750 µm net using </w:t>
      </w:r>
      <w:r w:rsidR="009F2907" w:rsidRPr="009F2907">
        <w:t xml:space="preserve">a General </w:t>
      </w:r>
      <w:proofErr w:type="spellStart"/>
      <w:r w:rsidR="009F2907" w:rsidRPr="009F2907">
        <w:t>Oceanics</w:t>
      </w:r>
      <w:proofErr w:type="spellEnd"/>
      <w:r w:rsidR="009F2907" w:rsidRPr="009F2907">
        <w:t xml:space="preserve"> 2030R mechanical </w:t>
      </w:r>
      <w:r w:rsidR="00BC13B2" w:rsidRPr="009F2907">
        <w:t>flowmeter</w:t>
      </w:r>
      <w:r w:rsidR="009F2907" w:rsidRPr="009F2907">
        <w:t>.</w:t>
      </w:r>
      <w:r w:rsidR="001623F8">
        <w:t xml:space="preserve"> Three 10-15 mL samples of surface sediment were also collected at each site with a handmade PVC-Steel </w:t>
      </w:r>
      <w:r>
        <w:t>gravity corer for eDNA analysis, and sterile technique was followed to ensure contamination of samples did not occur. Sediment was preserved in 3M sodium acetate and 95% ethanol on-site before transport and storage at -80</w:t>
      </w:r>
      <w:r w:rsidRPr="00AD64B2">
        <w:t>°C</w:t>
      </w:r>
      <w:r>
        <w:t>.</w:t>
      </w:r>
    </w:p>
    <w:p w14:paraId="1FE0984E" w14:textId="6CBF7823" w:rsidR="003353FA" w:rsidRDefault="00AD64B2" w:rsidP="007E0285">
      <w:pPr>
        <w:spacing w:line="240" w:lineRule="auto"/>
        <w:ind w:firstLine="720"/>
        <w:jc w:val="left"/>
      </w:pPr>
      <w:r>
        <w:t xml:space="preserve">Late-summer sampling occurred mid-August – mid September 2019. Additional 750 µm plankton net tows were conducted for 5-10 minutes to collect large zooplankton, fish larvae, and any medusae present. </w:t>
      </w:r>
      <w:r w:rsidR="003353FA">
        <w:t xml:space="preserve">New measurements of water quality were also conducted with the YSI probe. Three 2 L whole water samples were collected at each site and filtered onto 47 mm Whatman glass fiber filters </w:t>
      </w:r>
      <w:proofErr w:type="gramStart"/>
      <w:r w:rsidR="003353FA">
        <w:t>in an effort to</w:t>
      </w:r>
      <w:proofErr w:type="gramEnd"/>
      <w:r w:rsidR="003353FA">
        <w:t xml:space="preserve"> detect free-floating eDNA shed by medusae (excepting Glenmere Lake and East Caroga Lake, as they were not accessible at the time). Filter samples were put on ice immediately and stored at </w:t>
      </w:r>
      <w:bookmarkStart w:id="3" w:name="_Hlk27999491"/>
      <w:r w:rsidR="003353FA">
        <w:t>-80</w:t>
      </w:r>
      <w:r w:rsidR="003353FA" w:rsidRPr="00AD64B2">
        <w:t>°C</w:t>
      </w:r>
      <w:r w:rsidR="003353FA">
        <w:t xml:space="preserve"> </w:t>
      </w:r>
      <w:bookmarkEnd w:id="3"/>
      <w:r w:rsidR="003353FA">
        <w:t>within 24 hours.</w:t>
      </w:r>
      <w:r w:rsidR="007E0285">
        <w:t xml:space="preserve"> At </w:t>
      </w:r>
      <w:r>
        <w:t xml:space="preserve">this time, plate samplers were </w:t>
      </w:r>
      <w:r w:rsidR="003353FA">
        <w:t xml:space="preserve">also </w:t>
      </w:r>
      <w:r>
        <w:t>retrieved and preserved in 70% ethanol bags</w:t>
      </w:r>
      <w:r w:rsidR="003353FA">
        <w:t xml:space="preserve"> for visual observation under a dissecting scope. If potential </w:t>
      </w:r>
      <w:r w:rsidR="00246336">
        <w:rPr>
          <w:i/>
          <w:iCs/>
        </w:rPr>
        <w:t>C</w:t>
      </w:r>
      <w:r w:rsidR="003353FA">
        <w:rPr>
          <w:i/>
          <w:iCs/>
        </w:rPr>
        <w:t xml:space="preserve">. sowerbii </w:t>
      </w:r>
      <w:r w:rsidR="003353FA">
        <w:t xml:space="preserve">polyps were observed on a plate, they were extracted with tweezers and placed aside for DNA confirmation using the </w:t>
      </w:r>
      <w:r w:rsidR="003353FA" w:rsidRPr="00AC6D28">
        <w:t xml:space="preserve">Qiagen </w:t>
      </w:r>
      <w:proofErr w:type="spellStart"/>
      <w:r w:rsidR="003353FA">
        <w:t>DNeasy</w:t>
      </w:r>
      <w:proofErr w:type="spellEnd"/>
      <w:r w:rsidR="003353FA">
        <w:rPr>
          <w:rFonts w:cstheme="minorHAnsi"/>
        </w:rPr>
        <w:t>™</w:t>
      </w:r>
      <w:r w:rsidR="003353FA">
        <w:t xml:space="preserve"> </w:t>
      </w:r>
      <w:r w:rsidR="003353FA" w:rsidRPr="00AC6D28">
        <w:t>Blood and Tissue Kit</w:t>
      </w:r>
      <w:r w:rsidR="003353FA">
        <w:t xml:space="preserve"> and SYBR q</w:t>
      </w:r>
      <w:r w:rsidR="009D10B4">
        <w:t>PCR analysis.</w:t>
      </w:r>
    </w:p>
    <w:p w14:paraId="53D63CD1" w14:textId="77777777" w:rsidR="00371D17" w:rsidRPr="001623F8" w:rsidRDefault="00371D17" w:rsidP="00322FE9">
      <w:pPr>
        <w:pStyle w:val="Heading2"/>
        <w:spacing w:line="240" w:lineRule="auto"/>
        <w:rPr>
          <w:i/>
          <w:sz w:val="22"/>
          <w:szCs w:val="24"/>
        </w:rPr>
      </w:pPr>
      <w:r w:rsidRPr="001623F8">
        <w:rPr>
          <w:i/>
          <w:color w:val="auto"/>
          <w:sz w:val="22"/>
          <w:szCs w:val="24"/>
        </w:rPr>
        <w:t>eDNA assessment</w:t>
      </w:r>
    </w:p>
    <w:p w14:paraId="5CE80DCB" w14:textId="0762373F" w:rsidR="00371D17" w:rsidRDefault="00371D17" w:rsidP="00322FE9">
      <w:pPr>
        <w:spacing w:line="240" w:lineRule="auto"/>
        <w:jc w:val="left"/>
      </w:pPr>
      <w:r>
        <w:tab/>
      </w:r>
      <w:r w:rsidR="0083638A">
        <w:t xml:space="preserve">Sediment </w:t>
      </w:r>
      <w:r w:rsidR="009D10B4">
        <w:t xml:space="preserve">eDNA </w:t>
      </w:r>
      <w:r w:rsidR="0083638A">
        <w:t xml:space="preserve">samples were thawed and DNA was extracted using the MP Bio </w:t>
      </w:r>
      <w:proofErr w:type="spellStart"/>
      <w:r w:rsidR="0083638A" w:rsidRPr="0083638A">
        <w:lastRenderedPageBreak/>
        <w:t>FastDNA</w:t>
      </w:r>
      <w:proofErr w:type="spellEnd"/>
      <w:r w:rsidR="0083638A" w:rsidRPr="0083638A">
        <w:t>™ SPIN Kit for Soil</w:t>
      </w:r>
      <w:r w:rsidR="0083638A">
        <w:t xml:space="preserve">. </w:t>
      </w:r>
      <w:r>
        <w:t xml:space="preserve">Filters with eDNA samples </w:t>
      </w:r>
      <w:r w:rsidR="0083638A">
        <w:t>had</w:t>
      </w:r>
      <w:r>
        <w:t xml:space="preserve"> </w:t>
      </w:r>
      <w:r w:rsidR="0083638A">
        <w:t>DNA</w:t>
      </w:r>
      <w:r>
        <w:t xml:space="preserve"> </w:t>
      </w:r>
      <w:r w:rsidR="0083638A">
        <w:t>extracted</w:t>
      </w:r>
      <w:r>
        <w:t xml:space="preserve"> using</w:t>
      </w:r>
      <w:r w:rsidR="0083638A">
        <w:t xml:space="preserve"> the</w:t>
      </w:r>
      <w:r>
        <w:t xml:space="preserve"> </w:t>
      </w:r>
      <w:r w:rsidRPr="00AC6D28">
        <w:t xml:space="preserve">Qiagen </w:t>
      </w:r>
      <w:proofErr w:type="spellStart"/>
      <w:r>
        <w:t>DNeasy</w:t>
      </w:r>
      <w:proofErr w:type="spellEnd"/>
      <w:r>
        <w:rPr>
          <w:rFonts w:cstheme="minorHAnsi"/>
        </w:rPr>
        <w:t>™</w:t>
      </w:r>
      <w:r>
        <w:t xml:space="preserve"> </w:t>
      </w:r>
      <w:r w:rsidRPr="00AC6D28">
        <w:t>Blood and Tissue Kit</w:t>
      </w:r>
      <w:r w:rsidR="0083638A">
        <w:t xml:space="preserve">. After DNA samples were extracted, total DNA concentration was measured using </w:t>
      </w:r>
      <w:proofErr w:type="gramStart"/>
      <w:r w:rsidR="0083638A">
        <w:t>a</w:t>
      </w:r>
      <w:proofErr w:type="gramEnd"/>
      <w:r w:rsidR="0083638A">
        <w:t xml:space="preserve"> </w:t>
      </w:r>
      <w:r w:rsidR="0083638A" w:rsidRPr="0083638A">
        <w:t>Invitrogen Qubit 4 Fluorometer</w:t>
      </w:r>
      <w:r w:rsidR="0083638A">
        <w:t>. Following confirmation of quality DNA,</w:t>
      </w:r>
      <w:r>
        <w:t xml:space="preserve"> 2 </w:t>
      </w:r>
      <w:r w:rsidRPr="00CA4643">
        <w:rPr>
          <w:rFonts w:cstheme="minorHAnsi"/>
        </w:rPr>
        <w:t>µL</w:t>
      </w:r>
      <w:r>
        <w:t xml:space="preserve"> of each </w:t>
      </w:r>
      <w:r w:rsidR="0083638A">
        <w:t>sample was placed</w:t>
      </w:r>
      <w:r>
        <w:t xml:space="preserve"> </w:t>
      </w:r>
      <w:r w:rsidR="0083638A">
        <w:t xml:space="preserve">in a well with </w:t>
      </w:r>
      <w:r>
        <w:t xml:space="preserve">23 </w:t>
      </w:r>
      <w:r w:rsidRPr="00CA4643">
        <w:rPr>
          <w:rFonts w:cstheme="minorHAnsi"/>
        </w:rPr>
        <w:t>µL</w:t>
      </w:r>
      <w:r>
        <w:t xml:space="preserve"> of a mix containing </w:t>
      </w:r>
      <w:r w:rsidR="0083638A">
        <w:t xml:space="preserve">the developed </w:t>
      </w:r>
      <w:r w:rsidR="0083638A">
        <w:rPr>
          <w:i/>
          <w:iCs/>
        </w:rPr>
        <w:t>C. sowerbii</w:t>
      </w:r>
      <w:r w:rsidR="0083638A">
        <w:t>-specific</w:t>
      </w:r>
      <w:r>
        <w:t xml:space="preserve"> primer </w:t>
      </w:r>
      <w:r w:rsidR="0083638A">
        <w:t xml:space="preserve">markers on </w:t>
      </w:r>
      <w:r>
        <w:t>a 96-well qPCR plate</w:t>
      </w:r>
      <w:r w:rsidR="0083638A">
        <w:t>.</w:t>
      </w:r>
      <w:r w:rsidR="007E0285">
        <w:t xml:space="preserve"> The</w:t>
      </w:r>
      <w:r w:rsidR="0083638A">
        <w:t xml:space="preserve"> plate</w:t>
      </w:r>
      <w:r>
        <w:t xml:space="preserve"> </w:t>
      </w:r>
      <w:r w:rsidR="0083638A">
        <w:t>was</w:t>
      </w:r>
      <w:r>
        <w:t xml:space="preserve"> run with SYBR fluorescence in a </w:t>
      </w:r>
      <w:proofErr w:type="spellStart"/>
      <w:r>
        <w:t>QuanStudio</w:t>
      </w:r>
      <w:proofErr w:type="spellEnd"/>
      <w:r>
        <w:t xml:space="preserve"> 3 machine</w:t>
      </w:r>
      <w:r w:rsidR="00360679">
        <w:t xml:space="preserve"> along with a standard and several sample blanks. R</w:t>
      </w:r>
      <w:r w:rsidR="0083638A">
        <w:t>esults were</w:t>
      </w:r>
      <w:r>
        <w:t xml:space="preserve"> expo</w:t>
      </w:r>
      <w:r w:rsidR="0083638A">
        <w:t xml:space="preserve">rted and analyzed in </w:t>
      </w:r>
      <w:proofErr w:type="spellStart"/>
      <w:r w:rsidR="0083638A">
        <w:t>Qu</w:t>
      </w:r>
      <w:r w:rsidR="00C70952">
        <w:t>antStudio</w:t>
      </w:r>
      <w:proofErr w:type="spellEnd"/>
      <w:r w:rsidR="00C70952">
        <w:t xml:space="preserve"> design and analysis software</w:t>
      </w:r>
      <w:r>
        <w:t xml:space="preserve">. </w:t>
      </w:r>
    </w:p>
    <w:p w14:paraId="4D6605DA" w14:textId="77777777" w:rsidR="00371D17" w:rsidRPr="001623F8" w:rsidRDefault="00371D17" w:rsidP="00322FE9">
      <w:pPr>
        <w:pStyle w:val="Heading2"/>
        <w:spacing w:line="240" w:lineRule="auto"/>
        <w:rPr>
          <w:i/>
          <w:sz w:val="22"/>
          <w:szCs w:val="24"/>
        </w:rPr>
      </w:pPr>
      <w:r w:rsidRPr="001623F8">
        <w:rPr>
          <w:i/>
          <w:color w:val="auto"/>
          <w:sz w:val="22"/>
          <w:szCs w:val="24"/>
        </w:rPr>
        <w:t>Stable Isotope Analyses</w:t>
      </w:r>
    </w:p>
    <w:p w14:paraId="5DFB659E" w14:textId="5BE76231" w:rsidR="00371D17" w:rsidRDefault="00371D17" w:rsidP="00322FE9">
      <w:pPr>
        <w:spacing w:line="240" w:lineRule="auto"/>
        <w:ind w:firstLine="720"/>
        <w:jc w:val="left"/>
      </w:pPr>
      <w:r w:rsidRPr="00864928">
        <w:t>To conduct stable isotope analys</w:t>
      </w:r>
      <w:r>
        <w:t>e</w:t>
      </w:r>
      <w:r w:rsidRPr="00864928">
        <w:t xml:space="preserve">s, </w:t>
      </w:r>
      <w:r w:rsidRPr="00864928">
        <w:rPr>
          <w:i/>
        </w:rPr>
        <w:t>C. sowerbii</w:t>
      </w:r>
      <w:r w:rsidR="00003A34">
        <w:t xml:space="preserve"> medusae</w:t>
      </w:r>
      <w:r w:rsidRPr="00864928">
        <w:t xml:space="preserve">, </w:t>
      </w:r>
      <w:r w:rsidR="00003A34">
        <w:t xml:space="preserve">large </w:t>
      </w:r>
      <w:r w:rsidRPr="00864928">
        <w:t>zooplankton</w:t>
      </w:r>
      <w:r w:rsidR="00003A34">
        <w:t xml:space="preserve"> (from 750 µm tow samples)</w:t>
      </w:r>
      <w:r w:rsidRPr="00864928">
        <w:t xml:space="preserve">, </w:t>
      </w:r>
      <w:r>
        <w:t>fish larvae</w:t>
      </w:r>
      <w:r w:rsidR="00003A34">
        <w:t xml:space="preserve">, and small plankton samples (taken from 20 µm net tows and sieved within a 2-500 µm size range) </w:t>
      </w:r>
      <w:r w:rsidR="001623F8">
        <w:t>were</w:t>
      </w:r>
      <w:r>
        <w:t xml:space="preserve"> euthanized with </w:t>
      </w:r>
      <w:r w:rsidRPr="00B51508">
        <w:t xml:space="preserve">MS-222 (250 mg/ml) </w:t>
      </w:r>
      <w:r>
        <w:t xml:space="preserve">and preserved </w:t>
      </w:r>
      <w:r w:rsidR="00003A34">
        <w:t>in</w:t>
      </w:r>
      <w:r>
        <w:t xml:space="preserve"> 95% ethano</w:t>
      </w:r>
      <w:r w:rsidR="001623F8">
        <w:t>l</w:t>
      </w:r>
      <w:r w:rsidR="00003A34">
        <w:t xml:space="preserve"> on-site</w:t>
      </w:r>
      <w:r>
        <w:t>.</w:t>
      </w:r>
      <w:r w:rsidR="00003A34">
        <w:t xml:space="preserve"> </w:t>
      </w:r>
      <w:r w:rsidR="00246336">
        <w:t>S</w:t>
      </w:r>
      <w:r w:rsidR="00003A34">
        <w:t xml:space="preserve">amples were then brought to the NYSDEC </w:t>
      </w:r>
      <w:r w:rsidR="00003A34" w:rsidRPr="00003A34">
        <w:t>Forest Health Diagnostic Lab</w:t>
      </w:r>
      <w:r w:rsidR="00003A34">
        <w:t xml:space="preserve"> in Delmar, NY for sorting, ID and measurement</w:t>
      </w:r>
      <w:r w:rsidR="00246336">
        <w:t>.</w:t>
      </w:r>
      <w:r w:rsidR="00003A34">
        <w:t xml:space="preserve"> Following sorting, specimens </w:t>
      </w:r>
      <w:r w:rsidR="00246336">
        <w:t>were</w:t>
      </w:r>
      <w:r w:rsidR="00003A34">
        <w:t xml:space="preserve"> rinsed </w:t>
      </w:r>
      <w:r w:rsidR="00246336">
        <w:t>in</w:t>
      </w:r>
      <w:r w:rsidR="00003A34">
        <w:t xml:space="preserve"> </w:t>
      </w:r>
      <w:r w:rsidR="00246336">
        <w:t>DI water</w:t>
      </w:r>
      <w:r w:rsidR="00003A34">
        <w:t xml:space="preserve">, </w:t>
      </w:r>
      <w:r>
        <w:t xml:space="preserve">dried </w:t>
      </w:r>
      <w:r w:rsidR="00037921">
        <w:t>in a</w:t>
      </w:r>
      <w:r>
        <w:t xml:space="preserve"> 60</w:t>
      </w:r>
      <w:bookmarkStart w:id="4" w:name="_Hlk28005506"/>
      <w:r w:rsidR="00037921" w:rsidRPr="00037921">
        <w:t xml:space="preserve">°C </w:t>
      </w:r>
      <w:bookmarkEnd w:id="4"/>
      <w:r>
        <w:t>oven, and pulverized in the laboratory using a mortar and pestle (</w:t>
      </w:r>
      <w:proofErr w:type="spellStart"/>
      <w:r>
        <w:t>Feuchtmayr</w:t>
      </w:r>
      <w:proofErr w:type="spellEnd"/>
      <w:r>
        <w:t xml:space="preserve">, and Grey, </w:t>
      </w:r>
      <w:r w:rsidRPr="00A14763">
        <w:t xml:space="preserve">2003). </w:t>
      </w:r>
      <w:r>
        <w:t xml:space="preserve">After </w:t>
      </w:r>
      <w:r w:rsidR="00037921">
        <w:t>specimen</w:t>
      </w:r>
      <w:r>
        <w:t xml:space="preserve"> preparation</w:t>
      </w:r>
      <w:r w:rsidR="00037921">
        <w:t xml:space="preserve"> was complete</w:t>
      </w:r>
      <w:r>
        <w:t xml:space="preserve">, samples </w:t>
      </w:r>
      <w:r w:rsidR="00037921">
        <w:t>were</w:t>
      </w:r>
      <w:r>
        <w:t xml:space="preserve"> shipped off to </w:t>
      </w:r>
      <w:bookmarkStart w:id="5" w:name="_Hlk29561172"/>
      <w:r>
        <w:t xml:space="preserve">the </w:t>
      </w:r>
      <w:r w:rsidRPr="003F3FB5">
        <w:t xml:space="preserve">Cornell University Stable Isotope Laboratory </w:t>
      </w:r>
      <w:bookmarkEnd w:id="5"/>
      <w:r>
        <w:t>for analysis o</w:t>
      </w:r>
      <w:r w:rsidR="00C5067D">
        <w:t xml:space="preserve">f </w:t>
      </w:r>
      <w:bookmarkStart w:id="6" w:name="_Hlk29560704"/>
      <w:r w:rsidRPr="00775EDE">
        <w:t>δ</w:t>
      </w:r>
      <w:r w:rsidRPr="00775EDE">
        <w:rPr>
          <w:vertAlign w:val="superscript"/>
        </w:rPr>
        <w:t>13</w:t>
      </w:r>
      <w:r w:rsidRPr="00775EDE">
        <w:t>C</w:t>
      </w:r>
      <w:bookmarkEnd w:id="6"/>
      <w:r>
        <w:t xml:space="preserve"> and</w:t>
      </w:r>
      <w:r w:rsidRPr="00775EDE">
        <w:t xml:space="preserve"> δ</w:t>
      </w:r>
      <w:r w:rsidRPr="00775EDE">
        <w:rPr>
          <w:vertAlign w:val="superscript"/>
        </w:rPr>
        <w:t>15</w:t>
      </w:r>
      <w:r w:rsidRPr="00775EDE">
        <w:t>N</w:t>
      </w:r>
      <w:r>
        <w:t xml:space="preserve"> isotope ratios.</w:t>
      </w:r>
      <w:r w:rsidR="00915C7C">
        <w:t xml:space="preserve"> </w:t>
      </w:r>
      <w:r w:rsidR="00915C7C" w:rsidRPr="00775EDE">
        <w:t>δ</w:t>
      </w:r>
      <w:r w:rsidR="00915C7C" w:rsidRPr="00775EDE">
        <w:rPr>
          <w:vertAlign w:val="superscript"/>
        </w:rPr>
        <w:t>15</w:t>
      </w:r>
      <w:r w:rsidR="00915C7C" w:rsidRPr="00775EDE">
        <w:t>N</w:t>
      </w:r>
      <w:r w:rsidR="00915C7C">
        <w:t xml:space="preserve"> </w:t>
      </w:r>
      <w:r w:rsidR="00246336">
        <w:t>was</w:t>
      </w:r>
      <w:r w:rsidR="00915C7C">
        <w:t xml:space="preserve"> corrected using </w:t>
      </w:r>
      <w:r w:rsidR="00246336">
        <w:t xml:space="preserve">an </w:t>
      </w:r>
      <w:r w:rsidR="00915C7C">
        <w:t>Atmospheric reference, and</w:t>
      </w:r>
      <w:r>
        <w:t xml:space="preserve"> </w:t>
      </w:r>
      <w:r w:rsidR="00915C7C" w:rsidRPr="00775EDE">
        <w:t>δ</w:t>
      </w:r>
      <w:r w:rsidR="00915C7C" w:rsidRPr="00775EDE">
        <w:rPr>
          <w:vertAlign w:val="superscript"/>
        </w:rPr>
        <w:t>13</w:t>
      </w:r>
      <w:r w:rsidR="00915C7C" w:rsidRPr="00775EDE">
        <w:t>C</w:t>
      </w:r>
      <w:r w:rsidR="00915C7C">
        <w:t xml:space="preserve"> levels were corrected </w:t>
      </w:r>
      <w:r w:rsidR="00246336">
        <w:t>from</w:t>
      </w:r>
      <w:r w:rsidR="00915C7C">
        <w:t xml:space="preserve"> the primary </w:t>
      </w:r>
      <w:r w:rsidR="00246336">
        <w:t>Vienna Pee Dee Belemnite</w:t>
      </w:r>
      <w:r w:rsidR="00246336">
        <w:t xml:space="preserve"> </w:t>
      </w:r>
      <w:r w:rsidR="00915C7C">
        <w:t xml:space="preserve">reference. </w:t>
      </w:r>
      <w:r w:rsidR="00786ACE">
        <w:t xml:space="preserve">Specimens were only </w:t>
      </w:r>
      <w:r w:rsidR="00246336">
        <w:t>included</w:t>
      </w:r>
      <w:r w:rsidR="00786ACE">
        <w:t xml:space="preserve"> in lakes where medusae were successfully collected</w:t>
      </w:r>
      <w:r w:rsidR="00246336">
        <w:t xml:space="preserve"> and analyzed</w:t>
      </w:r>
      <w:r w:rsidR="00786ACE">
        <w:t>.</w:t>
      </w:r>
    </w:p>
    <w:p w14:paraId="45039883" w14:textId="14ACE509" w:rsidR="00322FE9" w:rsidRDefault="00E43C26" w:rsidP="00322FE9">
      <w:pPr>
        <w:pStyle w:val="Heading1"/>
        <w:spacing w:line="240" w:lineRule="auto"/>
        <w:rPr>
          <w:b/>
          <w:color w:val="auto"/>
        </w:rPr>
      </w:pPr>
      <w:r>
        <w:rPr>
          <w:b/>
          <w:color w:val="auto"/>
        </w:rPr>
        <w:t>Results</w:t>
      </w:r>
      <w:r w:rsidR="00322FE9">
        <w:rPr>
          <w:b/>
          <w:color w:val="auto"/>
        </w:rPr>
        <w:t xml:space="preserve"> and Discussion</w:t>
      </w:r>
    </w:p>
    <w:p w14:paraId="74852653" w14:textId="0B992172" w:rsidR="00322FE9" w:rsidRDefault="00322FE9" w:rsidP="00322FE9">
      <w:pPr>
        <w:pStyle w:val="Heading2"/>
        <w:spacing w:line="240" w:lineRule="auto"/>
        <w:rPr>
          <w:i/>
          <w:iCs/>
          <w:color w:val="auto"/>
          <w:sz w:val="22"/>
          <w:szCs w:val="24"/>
        </w:rPr>
      </w:pPr>
      <w:bookmarkStart w:id="7" w:name="_Hlk29568008"/>
      <w:r w:rsidRPr="001623F8">
        <w:rPr>
          <w:i/>
          <w:color w:val="auto"/>
          <w:sz w:val="22"/>
          <w:szCs w:val="24"/>
        </w:rPr>
        <w:t xml:space="preserve">eDNA </w:t>
      </w:r>
      <w:r w:rsidRPr="00322FE9">
        <w:rPr>
          <w:i/>
          <w:iCs/>
          <w:color w:val="auto"/>
          <w:sz w:val="22"/>
          <w:szCs w:val="24"/>
        </w:rPr>
        <w:t>and Traditional Detection</w:t>
      </w:r>
    </w:p>
    <w:bookmarkEnd w:id="7"/>
    <w:p w14:paraId="24D2034C" w14:textId="6D783839" w:rsidR="00322FE9" w:rsidRDefault="00322FE9" w:rsidP="00360679">
      <w:pPr>
        <w:jc w:val="left"/>
      </w:pPr>
      <w:r>
        <w:rPr>
          <w:lang w:eastAsia="en-US"/>
        </w:rPr>
        <w:tab/>
        <w:t xml:space="preserve">No specimens of </w:t>
      </w:r>
      <w:r>
        <w:rPr>
          <w:i/>
          <w:iCs/>
          <w:lang w:eastAsia="en-US"/>
        </w:rPr>
        <w:t xml:space="preserve">C. sowerbii </w:t>
      </w:r>
      <w:r>
        <w:rPr>
          <w:lang w:eastAsia="en-US"/>
        </w:rPr>
        <w:t xml:space="preserve">appeared in plankton net tows until mid-August, when a few individuals were collected from Tillson Lake, Lake Luzerne, and Garnet Lake. Additional net tows in September </w:t>
      </w:r>
      <w:r w:rsidR="00E07C61">
        <w:rPr>
          <w:lang w:eastAsia="en-US"/>
        </w:rPr>
        <w:t xml:space="preserve">also </w:t>
      </w:r>
      <w:r>
        <w:rPr>
          <w:lang w:eastAsia="en-US"/>
        </w:rPr>
        <w:t xml:space="preserve">yielded </w:t>
      </w:r>
      <w:r w:rsidR="00E07C61">
        <w:rPr>
          <w:lang w:eastAsia="en-US"/>
        </w:rPr>
        <w:t xml:space="preserve">specimens </w:t>
      </w:r>
      <w:r>
        <w:rPr>
          <w:lang w:eastAsia="en-US"/>
        </w:rPr>
        <w:t xml:space="preserve">in Stillwater Pond. Estimated medusae densities ranged from </w:t>
      </w:r>
      <w:r w:rsidRPr="00322FE9">
        <w:rPr>
          <w:lang w:eastAsia="en-US"/>
        </w:rPr>
        <w:t>0.018 (Luzerne)</w:t>
      </w:r>
      <w:r w:rsidR="009D10B4">
        <w:rPr>
          <w:lang w:eastAsia="en-US"/>
        </w:rPr>
        <w:t xml:space="preserve"> </w:t>
      </w:r>
      <w:r w:rsidR="00E07C61">
        <w:rPr>
          <w:lang w:eastAsia="en-US"/>
        </w:rPr>
        <w:t>to</w:t>
      </w:r>
      <w:r w:rsidR="009D10B4">
        <w:rPr>
          <w:lang w:eastAsia="en-US"/>
        </w:rPr>
        <w:t xml:space="preserve"> 0</w:t>
      </w:r>
      <w:r w:rsidRPr="00322FE9">
        <w:rPr>
          <w:lang w:eastAsia="en-US"/>
        </w:rPr>
        <w:t>.2</w:t>
      </w:r>
      <w:r>
        <w:rPr>
          <w:lang w:eastAsia="en-US"/>
        </w:rPr>
        <w:t>4</w:t>
      </w:r>
      <w:r w:rsidRPr="00322FE9">
        <w:rPr>
          <w:lang w:eastAsia="en-US"/>
        </w:rPr>
        <w:t xml:space="preserve"> medusae/m</w:t>
      </w:r>
      <w:r>
        <w:rPr>
          <w:vertAlign w:val="superscript"/>
          <w:lang w:eastAsia="en-US"/>
        </w:rPr>
        <w:t>3</w:t>
      </w:r>
      <w:r w:rsidRPr="00322FE9">
        <w:rPr>
          <w:lang w:eastAsia="en-US"/>
        </w:rPr>
        <w:t xml:space="preserve"> (Stillwater).</w:t>
      </w:r>
      <w:r>
        <w:rPr>
          <w:lang w:eastAsia="en-US"/>
        </w:rPr>
        <w:t xml:space="preserve"> </w:t>
      </w:r>
      <w:r>
        <w:t>Collected medusae ranged in size from 1.5</w:t>
      </w:r>
      <w:r w:rsidR="00E07C61">
        <w:t xml:space="preserve"> </w:t>
      </w:r>
      <w:r>
        <w:t>-</w:t>
      </w:r>
      <w:r w:rsidR="00E07C61">
        <w:t xml:space="preserve"> </w:t>
      </w:r>
      <w:r>
        <w:t>15 mm.</w:t>
      </w:r>
      <w:r w:rsidR="00E07C61">
        <w:t xml:space="preserve"> </w:t>
      </w:r>
      <w:r w:rsidR="003353FA">
        <w:t>During retrieval, several settlement plate samplers were lost, most likely due to theft, boat propeller damage, or movement due to storm conditions.</w:t>
      </w:r>
      <w:r w:rsidR="009D10B4">
        <w:t xml:space="preserve"> Visual observation of </w:t>
      </w:r>
      <w:bookmarkStart w:id="8" w:name="_Hlk29568750"/>
      <w:r w:rsidR="006B0749">
        <w:t xml:space="preserve">plate samplers </w:t>
      </w:r>
      <w:bookmarkEnd w:id="8"/>
      <w:r w:rsidR="009D10B4">
        <w:t xml:space="preserve">was a fairly, time-intensive process, and at this time only 10 samplers have been observed. Of the observed samplers, 80% had potential </w:t>
      </w:r>
      <w:r w:rsidR="009D10B4">
        <w:rPr>
          <w:i/>
          <w:iCs/>
        </w:rPr>
        <w:t>C. sowerbii</w:t>
      </w:r>
      <w:r w:rsidR="009D10B4">
        <w:t xml:space="preserve"> polyps, and 20% were confirmed to have polyps using qPCR analysis. </w:t>
      </w:r>
      <w:r w:rsidR="009D10B4">
        <w:rPr>
          <w:i/>
          <w:iCs/>
        </w:rPr>
        <w:t xml:space="preserve">C. sowerbii </w:t>
      </w:r>
      <w:r w:rsidR="009D10B4">
        <w:t xml:space="preserve">could only be detected in Wolf Lake and </w:t>
      </w:r>
      <w:proofErr w:type="spellStart"/>
      <w:r w:rsidR="009D10B4">
        <w:t>Glenmere</w:t>
      </w:r>
      <w:proofErr w:type="spellEnd"/>
      <w:r w:rsidR="009D10B4">
        <w:t xml:space="preserve"> Lake using </w:t>
      </w:r>
      <w:r w:rsidR="006B0749" w:rsidRPr="006B0749">
        <w:t>plate samplers</w:t>
      </w:r>
      <w:r w:rsidR="006B0749">
        <w:t>.</w:t>
      </w:r>
      <w:r w:rsidR="00360679">
        <w:rPr>
          <w:lang w:eastAsia="en-US"/>
        </w:rPr>
        <w:t xml:space="preserve"> </w:t>
      </w:r>
    </w:p>
    <w:p w14:paraId="60D3ACCB" w14:textId="6FB2698D" w:rsidR="00322FE9" w:rsidRPr="00530E03" w:rsidRDefault="00360679" w:rsidP="0018236D">
      <w:pPr>
        <w:jc w:val="left"/>
      </w:pPr>
      <w:r>
        <w:rPr>
          <w:lang w:eastAsia="en-US"/>
        </w:rPr>
        <w:tab/>
        <w:t xml:space="preserve">Sediment samples tested for eDNA had only 2/30 samples </w:t>
      </w:r>
      <w:r w:rsidR="0036759E">
        <w:rPr>
          <w:lang w:eastAsia="en-US"/>
        </w:rPr>
        <w:t xml:space="preserve">return with positive detection (all triplicates returning amplification above the threshold). These samples were both </w:t>
      </w:r>
      <w:r w:rsidR="0018236D">
        <w:rPr>
          <w:lang w:eastAsia="en-US"/>
        </w:rPr>
        <w:t xml:space="preserve">from </w:t>
      </w:r>
      <w:r w:rsidR="0036759E">
        <w:rPr>
          <w:lang w:eastAsia="en-US"/>
        </w:rPr>
        <w:t xml:space="preserve">Canopus Lake. However, there were samples with partial detection </w:t>
      </w:r>
      <w:r w:rsidR="0018236D">
        <w:rPr>
          <w:lang w:eastAsia="en-US"/>
        </w:rPr>
        <w:t xml:space="preserve">in </w:t>
      </w:r>
      <w:r w:rsidR="006108EB">
        <w:rPr>
          <w:lang w:eastAsia="en-US"/>
        </w:rPr>
        <w:t>several</w:t>
      </w:r>
      <w:r w:rsidR="0018236D">
        <w:rPr>
          <w:lang w:eastAsia="en-US"/>
        </w:rPr>
        <w:t xml:space="preserve"> other lakes. Filtered water eDNA samples returned positive detection in 11/24 samples. These samples were within</w:t>
      </w:r>
      <w:r w:rsidR="0018236D" w:rsidRPr="0018236D">
        <w:rPr>
          <w:lang w:eastAsia="en-US"/>
        </w:rPr>
        <w:t xml:space="preserve"> East Stoner Lake, Tillson Lake, White Pond, Wolf Lake, Garnet Lake, Canopus Lake, </w:t>
      </w:r>
      <w:r w:rsidR="0018236D">
        <w:rPr>
          <w:lang w:eastAsia="en-US"/>
        </w:rPr>
        <w:t xml:space="preserve">and </w:t>
      </w:r>
      <w:r w:rsidR="0018236D" w:rsidRPr="0018236D">
        <w:rPr>
          <w:lang w:eastAsia="en-US"/>
        </w:rPr>
        <w:t>Stillwater Pond</w:t>
      </w:r>
      <w:r w:rsidR="0018236D">
        <w:rPr>
          <w:lang w:eastAsia="en-US"/>
        </w:rPr>
        <w:t xml:space="preserve">. Again, </w:t>
      </w:r>
      <w:r w:rsidR="00374A98">
        <w:rPr>
          <w:lang w:eastAsia="en-US"/>
        </w:rPr>
        <w:t>several</w:t>
      </w:r>
      <w:r w:rsidR="0018236D">
        <w:rPr>
          <w:lang w:eastAsia="en-US"/>
        </w:rPr>
        <w:t xml:space="preserve"> eDNA samples returned with partial detection of </w:t>
      </w:r>
      <w:r w:rsidR="0018236D">
        <w:rPr>
          <w:i/>
          <w:iCs/>
          <w:lang w:eastAsia="en-US"/>
        </w:rPr>
        <w:t>C. sowerbii</w:t>
      </w:r>
      <w:r w:rsidR="0018236D">
        <w:rPr>
          <w:lang w:eastAsia="en-US"/>
        </w:rPr>
        <w:t xml:space="preserve"> DNA. These reason for these partial detections may be due to the estimated concentration of </w:t>
      </w:r>
      <w:r w:rsidR="0018236D">
        <w:rPr>
          <w:i/>
          <w:iCs/>
          <w:lang w:eastAsia="en-US"/>
        </w:rPr>
        <w:t>C. sowerbii</w:t>
      </w:r>
      <w:r w:rsidR="0018236D">
        <w:rPr>
          <w:lang w:eastAsia="en-US"/>
        </w:rPr>
        <w:t xml:space="preserve"> DNA, </w:t>
      </w:r>
      <w:r w:rsidR="00246336">
        <w:rPr>
          <w:lang w:eastAsia="en-US"/>
        </w:rPr>
        <w:t>ranging</w:t>
      </w:r>
      <w:r w:rsidR="0018236D">
        <w:rPr>
          <w:lang w:eastAsia="en-US"/>
        </w:rPr>
        <w:t xml:space="preserve"> from </w:t>
      </w:r>
      <w:r w:rsidR="00322FE9" w:rsidRPr="00530E03">
        <w:t>0.0</w:t>
      </w:r>
      <w:r w:rsidR="0018236D">
        <w:t>035</w:t>
      </w:r>
      <w:r w:rsidR="00322FE9">
        <w:t>-</w:t>
      </w:r>
      <w:r w:rsidR="0018236D">
        <w:t>2.7</w:t>
      </w:r>
      <w:r w:rsidR="00322FE9">
        <w:t xml:space="preserve"> DNA copies/µL</w:t>
      </w:r>
      <w:r w:rsidR="0018236D">
        <w:t xml:space="preserve"> in sediment and 0.038-</w:t>
      </w:r>
      <w:r w:rsidR="00F5228C">
        <w:t>7.5 DNA copies/µL in filtered water. These relatively low concentrations may have led to many samples resulting in amplification below the threshold value.</w:t>
      </w:r>
    </w:p>
    <w:p w14:paraId="35000B2F" w14:textId="515E7DDB" w:rsidR="00322FE9" w:rsidRDefault="00F5228C" w:rsidP="00322FE9">
      <w:pPr>
        <w:spacing w:line="240" w:lineRule="auto"/>
        <w:jc w:val="left"/>
        <w:rPr>
          <w:i/>
          <w:iCs/>
        </w:rPr>
      </w:pPr>
      <w:bookmarkStart w:id="9" w:name="_Hlk29559738"/>
      <w:r>
        <w:tab/>
      </w:r>
      <w:bookmarkEnd w:id="9"/>
      <w:r>
        <w:t xml:space="preserve">Overall, eDNA assessment using filtered water was the most sensitive detection method for </w:t>
      </w:r>
      <w:r>
        <w:rPr>
          <w:i/>
          <w:iCs/>
        </w:rPr>
        <w:t>C. sowerbii</w:t>
      </w:r>
      <w:r>
        <w:t xml:space="preserve">. This is likely due to the time of sampling, as medusae are typically reported to be most abundant in Late Summer, when water temperatures </w:t>
      </w:r>
      <w:r w:rsidR="004453C9">
        <w:t xml:space="preserve">have been in the </w:t>
      </w:r>
      <w:proofErr w:type="spellStart"/>
      <w:r w:rsidR="004453C9">
        <w:t xml:space="preserve">mid </w:t>
      </w:r>
      <w:bookmarkStart w:id="10" w:name="_Hlk29559542"/>
      <w:r w:rsidR="004453C9">
        <w:t>20s</w:t>
      </w:r>
      <w:proofErr w:type="spellEnd"/>
      <w:r w:rsidR="004453C9" w:rsidRPr="004453C9">
        <w:t>°C</w:t>
      </w:r>
      <w:bookmarkEnd w:id="10"/>
      <w:r w:rsidR="00374A98">
        <w:t xml:space="preserve">. </w:t>
      </w:r>
      <w:r w:rsidR="00AF6A6F">
        <w:t xml:space="preserve">Recommendations for future use of eDNA assessment of waterbodies for </w:t>
      </w:r>
      <w:r w:rsidR="00AF6A6F" w:rsidRPr="00AF6A6F">
        <w:rPr>
          <w:i/>
          <w:iCs/>
        </w:rPr>
        <w:t>C</w:t>
      </w:r>
      <w:r w:rsidR="00AF6A6F">
        <w:rPr>
          <w:i/>
          <w:iCs/>
        </w:rPr>
        <w:t xml:space="preserve">. sowerbii </w:t>
      </w:r>
      <w:r w:rsidR="00AF6A6F">
        <w:t xml:space="preserve">will focus on sampling during weeks when medusae are likely present, with surface water temperatures having been above </w:t>
      </w:r>
      <w:r w:rsidR="00AF6A6F" w:rsidRPr="00AF6A6F">
        <w:t>2</w:t>
      </w:r>
      <w:r w:rsidR="00AF6A6F">
        <w:t>0</w:t>
      </w:r>
      <w:r w:rsidR="00AF6A6F" w:rsidRPr="00AF6A6F">
        <w:t>°C</w:t>
      </w:r>
      <w:r w:rsidR="00AF6A6F">
        <w:t xml:space="preserve"> for several weeks to allow polyps to produce </w:t>
      </w:r>
      <w:r w:rsidR="00AF6A6F">
        <w:lastRenderedPageBreak/>
        <w:t>medusae wherever possible</w:t>
      </w:r>
      <w:r w:rsidR="00BA1CAD">
        <w:t>.</w:t>
      </w:r>
      <w:r w:rsidR="00A7742A">
        <w:t xml:space="preserve"> </w:t>
      </w:r>
    </w:p>
    <w:p w14:paraId="6D443A01" w14:textId="477BB758" w:rsidR="00246336" w:rsidRDefault="00246336" w:rsidP="00246336">
      <w:pPr>
        <w:pStyle w:val="Heading2"/>
        <w:spacing w:line="240" w:lineRule="auto"/>
        <w:rPr>
          <w:i/>
          <w:iCs/>
          <w:color w:val="auto"/>
          <w:sz w:val="22"/>
          <w:szCs w:val="24"/>
        </w:rPr>
      </w:pPr>
      <w:bookmarkStart w:id="11" w:name="_Hlk29568050"/>
      <w:r>
        <w:rPr>
          <w:i/>
          <w:color w:val="auto"/>
          <w:sz w:val="22"/>
          <w:szCs w:val="24"/>
        </w:rPr>
        <w:t>Stable Isotope Analyses</w:t>
      </w:r>
    </w:p>
    <w:bookmarkEnd w:id="11"/>
    <w:p w14:paraId="2DC75AAF" w14:textId="71775B34" w:rsidR="009F7B58" w:rsidRDefault="00AF6A6F" w:rsidP="007E0285">
      <w:pPr>
        <w:spacing w:line="240" w:lineRule="auto"/>
        <w:jc w:val="left"/>
      </w:pPr>
      <w:r w:rsidRPr="00AF6A6F">
        <w:tab/>
      </w:r>
      <w:r>
        <w:t xml:space="preserve">Results of stable isotope analyses were variable between lakes, with samples from Tillson Lake having a relatively unique </w:t>
      </w:r>
      <w:bookmarkStart w:id="12" w:name="_Hlk29560708"/>
      <w:r w:rsidRPr="00775EDE">
        <w:t>δ</w:t>
      </w:r>
      <w:r w:rsidRPr="00775EDE">
        <w:rPr>
          <w:vertAlign w:val="superscript"/>
        </w:rPr>
        <w:t>13</w:t>
      </w:r>
      <w:r w:rsidRPr="00775EDE">
        <w:t>C</w:t>
      </w:r>
      <w:bookmarkEnd w:id="12"/>
      <w:r>
        <w:t xml:space="preserve"> signature, and</w:t>
      </w:r>
      <w:r w:rsidR="002D32CF">
        <w:t xml:space="preserve"> elevated </w:t>
      </w:r>
      <w:r>
        <w:t xml:space="preserve">small plankton </w:t>
      </w:r>
      <w:bookmarkStart w:id="13" w:name="_Hlk29561425"/>
      <w:r w:rsidRPr="00775EDE">
        <w:t>δ</w:t>
      </w:r>
      <w:r w:rsidRPr="00775EDE">
        <w:rPr>
          <w:vertAlign w:val="superscript"/>
        </w:rPr>
        <w:t>15</w:t>
      </w:r>
      <w:r w:rsidRPr="00775EDE">
        <w:t>N</w:t>
      </w:r>
      <w:r>
        <w:t xml:space="preserve"> </w:t>
      </w:r>
      <w:bookmarkEnd w:id="13"/>
      <w:r w:rsidR="002D32CF">
        <w:t>levels of 5.26 and 5.56 ppt</w:t>
      </w:r>
      <w:r w:rsidR="00AD4FB0">
        <w:t xml:space="preserve"> (Figure 2)</w:t>
      </w:r>
      <w:r w:rsidR="002D32CF">
        <w:t>.</w:t>
      </w:r>
      <w:r w:rsidR="00B03C96">
        <w:t xml:space="preserve"> Tillson Lake small plankton and separated copepods </w:t>
      </w:r>
      <w:r w:rsidR="009F7B58">
        <w:t xml:space="preserve">had </w:t>
      </w:r>
      <w:r w:rsidR="009F7B58" w:rsidRPr="009F7B58">
        <w:t>δ</w:t>
      </w:r>
      <w:r w:rsidR="009F7B58" w:rsidRPr="009F7B58">
        <w:rPr>
          <w:vertAlign w:val="superscript"/>
        </w:rPr>
        <w:t>13</w:t>
      </w:r>
      <w:r w:rsidR="009F7B58" w:rsidRPr="009F7B58">
        <w:t>C</w:t>
      </w:r>
      <w:r w:rsidR="009F7B58" w:rsidRPr="009F7B58">
        <w:t xml:space="preserve"> </w:t>
      </w:r>
      <w:r w:rsidR="009F7B58">
        <w:t xml:space="preserve">4-5 ppt lower than in Medusae. </w:t>
      </w:r>
      <w:r w:rsidR="002D32CF">
        <w:t xml:space="preserve"> </w:t>
      </w:r>
      <w:r w:rsidR="00AD4FB0">
        <w:t xml:space="preserve">Regarding fish larvae and Medusae, in both sites where enough biomass was able to be collected to obtain a value, </w:t>
      </w:r>
      <w:r w:rsidR="00AD4FB0" w:rsidRPr="00AD4FB0">
        <w:t>δ</w:t>
      </w:r>
      <w:r w:rsidR="00AD4FB0" w:rsidRPr="00AD4FB0">
        <w:rPr>
          <w:vertAlign w:val="superscript"/>
        </w:rPr>
        <w:t>13</w:t>
      </w:r>
      <w:r w:rsidR="00AD4FB0" w:rsidRPr="00AD4FB0">
        <w:t>C</w:t>
      </w:r>
      <w:r w:rsidR="00AD4FB0">
        <w:t xml:space="preserve"> was within 2 ppt</w:t>
      </w:r>
      <w:r w:rsidR="00443770">
        <w:t>, but in</w:t>
      </w:r>
      <w:r w:rsidR="00AD4FB0">
        <w:t xml:space="preserve"> neither case was </w:t>
      </w:r>
      <w:bookmarkStart w:id="14" w:name="_Hlk29562913"/>
      <w:r w:rsidR="00AD4FB0" w:rsidRPr="00AD4FB0">
        <w:t>δ</w:t>
      </w:r>
      <w:r w:rsidR="00AD4FB0" w:rsidRPr="00AD4FB0">
        <w:rPr>
          <w:vertAlign w:val="superscript"/>
        </w:rPr>
        <w:t>15</w:t>
      </w:r>
      <w:r w:rsidR="00AD4FB0" w:rsidRPr="00AD4FB0">
        <w:t>N</w:t>
      </w:r>
      <w:bookmarkEnd w:id="14"/>
      <w:r w:rsidR="00AD4FB0">
        <w:t xml:space="preserve"> higher in Medusae than fish larvae.</w:t>
      </w:r>
      <w:r w:rsidR="00443770">
        <w:t xml:space="preserve"> In Garnet Lake, Medusae </w:t>
      </w:r>
      <w:r w:rsidR="00443770" w:rsidRPr="00443770">
        <w:t>δ</w:t>
      </w:r>
      <w:r w:rsidR="00443770" w:rsidRPr="00443770">
        <w:rPr>
          <w:vertAlign w:val="superscript"/>
        </w:rPr>
        <w:t>15</w:t>
      </w:r>
      <w:r w:rsidR="00443770" w:rsidRPr="00443770">
        <w:t>N</w:t>
      </w:r>
      <w:r w:rsidR="00443770">
        <w:t xml:space="preserve"> was within 1 ppt of both larval fish and </w:t>
      </w:r>
      <w:bookmarkStart w:id="15" w:name="_Hlk29563288"/>
      <w:proofErr w:type="spellStart"/>
      <w:r w:rsidR="00443770">
        <w:rPr>
          <w:i/>
          <w:iCs/>
        </w:rPr>
        <w:t>Leptodora</w:t>
      </w:r>
      <w:proofErr w:type="spellEnd"/>
      <w:r w:rsidR="00443770">
        <w:rPr>
          <w:i/>
          <w:iCs/>
        </w:rPr>
        <w:t xml:space="preserve"> </w:t>
      </w:r>
      <w:proofErr w:type="spellStart"/>
      <w:r w:rsidR="00443770">
        <w:rPr>
          <w:i/>
          <w:iCs/>
        </w:rPr>
        <w:t>kindtii</w:t>
      </w:r>
      <w:proofErr w:type="spellEnd"/>
      <w:r w:rsidR="00443770">
        <w:t xml:space="preserve">, </w:t>
      </w:r>
      <w:bookmarkEnd w:id="15"/>
      <w:r w:rsidR="00443770">
        <w:t xml:space="preserve">and higher (5.74 ppt) than </w:t>
      </w:r>
      <w:proofErr w:type="spellStart"/>
      <w:r w:rsidR="00443770">
        <w:rPr>
          <w:i/>
          <w:iCs/>
        </w:rPr>
        <w:t>Bosmina</w:t>
      </w:r>
      <w:proofErr w:type="spellEnd"/>
      <w:r w:rsidR="00443770">
        <w:t xml:space="preserve"> (4.11 ppt) and small plankton (2.08 – 2.18 ppt). </w:t>
      </w:r>
      <w:r w:rsidR="007E0285">
        <w:t xml:space="preserve"> </w:t>
      </w:r>
    </w:p>
    <w:p w14:paraId="59E0CBE1" w14:textId="093B1D64" w:rsidR="00AD4FB0" w:rsidRDefault="00B03C96" w:rsidP="00E711F9">
      <w:pPr>
        <w:spacing w:line="240" w:lineRule="auto"/>
        <w:jc w:val="left"/>
      </w:pPr>
      <w:r>
        <w:rPr>
          <w:noProof/>
        </w:rPr>
        <w:drawing>
          <wp:inline distT="0" distB="0" distL="0" distR="0" wp14:anchorId="38DCDF9A" wp14:editId="784E4C3A">
            <wp:extent cx="5492750" cy="2838450"/>
            <wp:effectExtent l="0" t="0" r="12700" b="0"/>
            <wp:docPr id="2" name="Chart 2">
              <a:extLst xmlns:a="http://schemas.openxmlformats.org/drawingml/2006/main">
                <a:ext uri="{FF2B5EF4-FFF2-40B4-BE49-F238E27FC236}">
                  <a16:creationId xmlns:a16="http://schemas.microsoft.com/office/drawing/2014/main" id="{0C4E82FB-80E7-46FB-9A8E-603C1BA497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r w:rsidR="00E711F9">
        <w:t xml:space="preserve"> </w:t>
      </w:r>
    </w:p>
    <w:p w14:paraId="27396637" w14:textId="0AF2DAB2" w:rsidR="00282EA4" w:rsidRDefault="00AD4FB0" w:rsidP="00AD4FB0">
      <w:pPr>
        <w:pStyle w:val="Caption"/>
        <w:jc w:val="left"/>
        <w:rPr>
          <w:b/>
          <w:bCs/>
          <w:i w:val="0"/>
          <w:iCs w:val="0"/>
          <w:color w:val="auto"/>
          <w:sz w:val="20"/>
          <w:szCs w:val="20"/>
        </w:rPr>
      </w:pPr>
      <w:r w:rsidRPr="00AD4FB0">
        <w:rPr>
          <w:b/>
          <w:bCs/>
          <w:i w:val="0"/>
          <w:iCs w:val="0"/>
          <w:color w:val="auto"/>
          <w:sz w:val="20"/>
          <w:szCs w:val="20"/>
        </w:rPr>
        <w:t xml:space="preserve">Figure </w:t>
      </w:r>
      <w:r w:rsidRPr="00AD4FB0">
        <w:rPr>
          <w:b/>
          <w:bCs/>
          <w:i w:val="0"/>
          <w:iCs w:val="0"/>
          <w:color w:val="auto"/>
          <w:sz w:val="20"/>
          <w:szCs w:val="20"/>
        </w:rPr>
        <w:fldChar w:fldCharType="begin"/>
      </w:r>
      <w:r w:rsidRPr="00AD4FB0">
        <w:rPr>
          <w:b/>
          <w:bCs/>
          <w:i w:val="0"/>
          <w:iCs w:val="0"/>
          <w:color w:val="auto"/>
          <w:sz w:val="20"/>
          <w:szCs w:val="20"/>
        </w:rPr>
        <w:instrText xml:space="preserve"> SEQ Figure \* ARABIC </w:instrText>
      </w:r>
      <w:r w:rsidRPr="00AD4FB0">
        <w:rPr>
          <w:b/>
          <w:bCs/>
          <w:i w:val="0"/>
          <w:iCs w:val="0"/>
          <w:color w:val="auto"/>
          <w:sz w:val="20"/>
          <w:szCs w:val="20"/>
        </w:rPr>
        <w:fldChar w:fldCharType="separate"/>
      </w:r>
      <w:r w:rsidRPr="00AD4FB0">
        <w:rPr>
          <w:b/>
          <w:bCs/>
          <w:i w:val="0"/>
          <w:iCs w:val="0"/>
          <w:noProof/>
          <w:color w:val="auto"/>
          <w:sz w:val="20"/>
          <w:szCs w:val="20"/>
        </w:rPr>
        <w:t>2</w:t>
      </w:r>
      <w:r w:rsidRPr="00AD4FB0">
        <w:rPr>
          <w:b/>
          <w:bCs/>
          <w:i w:val="0"/>
          <w:iCs w:val="0"/>
          <w:color w:val="auto"/>
          <w:sz w:val="20"/>
          <w:szCs w:val="20"/>
        </w:rPr>
        <w:fldChar w:fldCharType="end"/>
      </w:r>
      <w:r w:rsidRPr="00AD4FB0">
        <w:rPr>
          <w:b/>
          <w:bCs/>
          <w:i w:val="0"/>
          <w:iCs w:val="0"/>
          <w:color w:val="auto"/>
          <w:sz w:val="20"/>
          <w:szCs w:val="20"/>
        </w:rPr>
        <w:t xml:space="preserve">: </w:t>
      </w:r>
      <w:r>
        <w:rPr>
          <w:b/>
          <w:bCs/>
          <w:i w:val="0"/>
          <w:iCs w:val="0"/>
          <w:color w:val="auto"/>
          <w:sz w:val="20"/>
          <w:szCs w:val="20"/>
        </w:rPr>
        <w:t xml:space="preserve">Scatterplot of </w:t>
      </w:r>
      <w:r w:rsidRPr="00AD4FB0">
        <w:rPr>
          <w:b/>
          <w:bCs/>
          <w:i w:val="0"/>
          <w:iCs w:val="0"/>
          <w:color w:val="auto"/>
          <w:sz w:val="20"/>
          <w:szCs w:val="20"/>
        </w:rPr>
        <w:t>δ</w:t>
      </w:r>
      <w:r w:rsidRPr="00AD4FB0">
        <w:rPr>
          <w:b/>
          <w:bCs/>
          <w:i w:val="0"/>
          <w:iCs w:val="0"/>
          <w:color w:val="auto"/>
          <w:sz w:val="20"/>
          <w:szCs w:val="20"/>
          <w:vertAlign w:val="superscript"/>
        </w:rPr>
        <w:t>15</w:t>
      </w:r>
      <w:r w:rsidRPr="00AD4FB0">
        <w:rPr>
          <w:b/>
          <w:bCs/>
          <w:i w:val="0"/>
          <w:iCs w:val="0"/>
          <w:color w:val="auto"/>
          <w:sz w:val="20"/>
          <w:szCs w:val="20"/>
        </w:rPr>
        <w:t>N vs. δ</w:t>
      </w:r>
      <w:r w:rsidRPr="00AD4FB0">
        <w:rPr>
          <w:b/>
          <w:bCs/>
          <w:i w:val="0"/>
          <w:iCs w:val="0"/>
          <w:color w:val="auto"/>
          <w:sz w:val="20"/>
          <w:szCs w:val="20"/>
          <w:vertAlign w:val="superscript"/>
        </w:rPr>
        <w:t>13</w:t>
      </w:r>
      <w:r w:rsidRPr="00AD4FB0">
        <w:rPr>
          <w:b/>
          <w:bCs/>
          <w:i w:val="0"/>
          <w:iCs w:val="0"/>
          <w:color w:val="auto"/>
          <w:sz w:val="20"/>
          <w:szCs w:val="20"/>
        </w:rPr>
        <w:t>C</w:t>
      </w:r>
      <w:r w:rsidRPr="00AD4FB0">
        <w:rPr>
          <w:b/>
          <w:bCs/>
          <w:color w:val="auto"/>
          <w:sz w:val="20"/>
          <w:szCs w:val="20"/>
        </w:rPr>
        <w:t xml:space="preserve"> </w:t>
      </w:r>
      <w:r w:rsidRPr="00AD4FB0">
        <w:rPr>
          <w:b/>
          <w:bCs/>
          <w:i w:val="0"/>
          <w:iCs w:val="0"/>
          <w:color w:val="auto"/>
          <w:sz w:val="20"/>
          <w:szCs w:val="20"/>
        </w:rPr>
        <w:t>Stable Isotope Analyses</w:t>
      </w:r>
      <w:r>
        <w:rPr>
          <w:b/>
          <w:bCs/>
          <w:i w:val="0"/>
          <w:iCs w:val="0"/>
          <w:color w:val="auto"/>
          <w:sz w:val="20"/>
          <w:szCs w:val="20"/>
        </w:rPr>
        <w:t xml:space="preserve"> of Summer 2019 samples from Garnet Lake, NY (G), Stillwater Pond, NY (S), and Tillson Lake, NY (T). Analysis conducted by </w:t>
      </w:r>
      <w:r w:rsidRPr="00AD4FB0">
        <w:rPr>
          <w:b/>
          <w:bCs/>
          <w:i w:val="0"/>
          <w:iCs w:val="0"/>
          <w:color w:val="auto"/>
          <w:sz w:val="20"/>
          <w:szCs w:val="20"/>
        </w:rPr>
        <w:t>the Cornell University Stable Isotope Laboratory (COIL)</w:t>
      </w:r>
      <w:r>
        <w:rPr>
          <w:b/>
          <w:bCs/>
          <w:i w:val="0"/>
          <w:iCs w:val="0"/>
          <w:color w:val="auto"/>
          <w:sz w:val="20"/>
          <w:szCs w:val="20"/>
        </w:rPr>
        <w:t>.</w:t>
      </w:r>
    </w:p>
    <w:p w14:paraId="21BC9B6F" w14:textId="15012FC8" w:rsidR="007E0285" w:rsidRPr="007E0285" w:rsidRDefault="007E0285" w:rsidP="007E0285">
      <w:pPr>
        <w:jc w:val="left"/>
      </w:pPr>
      <w:r w:rsidRPr="00A7742A">
        <w:tab/>
      </w:r>
      <w:r>
        <w:t xml:space="preserve">Altogether, these data suggest a few things about </w:t>
      </w:r>
      <w:r>
        <w:rPr>
          <w:i/>
          <w:iCs/>
        </w:rPr>
        <w:t>C. sowerbii</w:t>
      </w:r>
      <w:r>
        <w:t xml:space="preserve"> in NY lakes. For one, </w:t>
      </w:r>
      <w:r w:rsidRPr="009F7B58">
        <w:t>δ</w:t>
      </w:r>
      <w:r w:rsidRPr="009F7B58">
        <w:rPr>
          <w:vertAlign w:val="superscript"/>
        </w:rPr>
        <w:t>15</w:t>
      </w:r>
      <w:r w:rsidRPr="009F7B58">
        <w:t xml:space="preserve">N </w:t>
      </w:r>
      <w:r>
        <w:t>values suggest medusae do not feed at a trophic level above larval fish, rather feeding at a similar planktivorous level along with</w:t>
      </w:r>
      <w:r w:rsidRPr="00F81724">
        <w:rPr>
          <w:i/>
          <w:iCs/>
        </w:rPr>
        <w:t xml:space="preserve"> </w:t>
      </w:r>
      <w:proofErr w:type="spellStart"/>
      <w:r w:rsidRPr="00F81724">
        <w:rPr>
          <w:i/>
          <w:iCs/>
        </w:rPr>
        <w:t>Leptodora</w:t>
      </w:r>
      <w:proofErr w:type="spellEnd"/>
      <w:r w:rsidRPr="00F81724">
        <w:rPr>
          <w:i/>
          <w:iCs/>
        </w:rPr>
        <w:t xml:space="preserve"> </w:t>
      </w:r>
      <w:proofErr w:type="spellStart"/>
      <w:r w:rsidRPr="00F81724">
        <w:rPr>
          <w:i/>
          <w:iCs/>
        </w:rPr>
        <w:t>kindtii</w:t>
      </w:r>
      <w:proofErr w:type="spellEnd"/>
      <w:r>
        <w:rPr>
          <w:i/>
          <w:iCs/>
        </w:rPr>
        <w:t xml:space="preserve"> </w:t>
      </w:r>
      <w:r>
        <w:t>(</w:t>
      </w:r>
      <w:proofErr w:type="spellStart"/>
      <w:r w:rsidRPr="00F81724">
        <w:t>Leite</w:t>
      </w:r>
      <w:proofErr w:type="spellEnd"/>
      <w:r>
        <w:t xml:space="preserve"> et al., 2002). </w:t>
      </w:r>
      <w:r w:rsidRPr="00F81724">
        <w:t>δ</w:t>
      </w:r>
      <w:r w:rsidRPr="00F81724">
        <w:rPr>
          <w:vertAlign w:val="superscript"/>
        </w:rPr>
        <w:t>13</w:t>
      </w:r>
      <w:r w:rsidRPr="00F81724">
        <w:t xml:space="preserve">C </w:t>
      </w:r>
      <w:r>
        <w:t>results may also illustrate that these Medusae will not feed preferentially on Copepods, even though prior feeding experimentation has demonstrated the opposite</w:t>
      </w:r>
      <w:r w:rsidRPr="00F81724">
        <w:t xml:space="preserve"> </w:t>
      </w:r>
      <w:r>
        <w:t>(</w:t>
      </w:r>
      <w:r w:rsidRPr="00F81724">
        <w:t>Smith and Alexander Jr., 2008</w:t>
      </w:r>
      <w:r>
        <w:t>). However, these results rely on very few data points due to the sparsity of medusae samples available and should not be considered conclusive without additional sampling and isotope analysis in support of these observations</w:t>
      </w:r>
    </w:p>
    <w:p w14:paraId="421EBEFB" w14:textId="3BE88AF1" w:rsidR="00246336" w:rsidRDefault="00A7742A" w:rsidP="00246336">
      <w:pPr>
        <w:pStyle w:val="Heading2"/>
        <w:spacing w:line="240" w:lineRule="auto"/>
        <w:rPr>
          <w:i/>
          <w:iCs/>
          <w:color w:val="auto"/>
          <w:sz w:val="22"/>
          <w:szCs w:val="24"/>
        </w:rPr>
      </w:pPr>
      <w:r>
        <w:t xml:space="preserve"> </w:t>
      </w:r>
      <w:r w:rsidR="00246336">
        <w:rPr>
          <w:i/>
          <w:color w:val="auto"/>
          <w:sz w:val="22"/>
          <w:szCs w:val="24"/>
        </w:rPr>
        <w:t>Conclusions</w:t>
      </w:r>
    </w:p>
    <w:p w14:paraId="7AA4925E" w14:textId="1FFCB3CF" w:rsidR="00A7742A" w:rsidRPr="002D1DF6" w:rsidRDefault="00E07C61" w:rsidP="00322FE9">
      <w:pPr>
        <w:spacing w:line="240" w:lineRule="auto"/>
        <w:jc w:val="left"/>
      </w:pPr>
      <w:r w:rsidRPr="00A7742A">
        <w:tab/>
      </w:r>
      <w:r w:rsidR="00BA1CAD">
        <w:t xml:space="preserve">As professionals and students </w:t>
      </w:r>
      <w:r w:rsidR="00A24DB1">
        <w:t>contemplate</w:t>
      </w:r>
      <w:r w:rsidR="00BA1CAD">
        <w:t xml:space="preserve"> options to locate </w:t>
      </w:r>
      <w:proofErr w:type="spellStart"/>
      <w:r w:rsidR="00BA1CAD" w:rsidRPr="00BA1CAD">
        <w:rPr>
          <w:i/>
        </w:rPr>
        <w:t>Craspedacusta</w:t>
      </w:r>
      <w:proofErr w:type="spellEnd"/>
      <w:r w:rsidR="00BA1CAD" w:rsidRPr="00BA1CAD">
        <w:rPr>
          <w:i/>
        </w:rPr>
        <w:t xml:space="preserve"> sowerbii</w:t>
      </w:r>
      <w:r w:rsidR="00BA1CAD" w:rsidRPr="00BA1CAD">
        <w:t xml:space="preserve"> </w:t>
      </w:r>
      <w:r w:rsidR="00BA1CAD">
        <w:t>for research, management, or other purposes, t</w:t>
      </w:r>
      <w:r w:rsidR="00BA1CAD">
        <w:rPr>
          <w:iCs/>
        </w:rPr>
        <w:t>his study may be useful as a guide comparing the effectiveness of several methods of detection. In consideration of the elusi</w:t>
      </w:r>
      <w:r w:rsidR="00A24DB1">
        <w:rPr>
          <w:iCs/>
        </w:rPr>
        <w:t xml:space="preserve">ve nature of </w:t>
      </w:r>
      <w:bookmarkStart w:id="16" w:name="_Hlk29565543"/>
      <w:r w:rsidR="00A24DB1">
        <w:rPr>
          <w:i/>
        </w:rPr>
        <w:t>C. sowerbii</w:t>
      </w:r>
      <w:bookmarkEnd w:id="16"/>
      <w:r w:rsidR="00A24DB1">
        <w:rPr>
          <w:iCs/>
        </w:rPr>
        <w:t>,</w:t>
      </w:r>
      <w:r w:rsidR="00BA1CAD">
        <w:rPr>
          <w:iCs/>
        </w:rPr>
        <w:t xml:space="preserve"> </w:t>
      </w:r>
      <w:r w:rsidR="00A24DB1">
        <w:rPr>
          <w:iCs/>
        </w:rPr>
        <w:t>application of the eDNA assay developed and tested in this study would be a helpful option as many lakes can be sampled and tested relatively quickly. Relying solely on eyewitness reports and traditional methods (such as plankton tows) will likely result in</w:t>
      </w:r>
      <w:r w:rsidR="006B0749">
        <w:rPr>
          <w:iCs/>
        </w:rPr>
        <w:t xml:space="preserve"> </w:t>
      </w:r>
      <w:r w:rsidR="00A24DB1">
        <w:rPr>
          <w:iCs/>
        </w:rPr>
        <w:t>relative unawareness regarding this species and its spread.</w:t>
      </w:r>
      <w:r w:rsidR="002D1DF6">
        <w:rPr>
          <w:iCs/>
        </w:rPr>
        <w:t xml:space="preserve"> The impact that </w:t>
      </w:r>
      <w:r w:rsidR="002D1DF6" w:rsidRPr="002D1DF6">
        <w:rPr>
          <w:i/>
          <w:iCs/>
        </w:rPr>
        <w:t>C. sowerbii</w:t>
      </w:r>
      <w:r w:rsidR="002D1DF6">
        <w:rPr>
          <w:i/>
          <w:iCs/>
        </w:rPr>
        <w:t xml:space="preserve"> </w:t>
      </w:r>
      <w:r w:rsidR="002D1DF6" w:rsidRPr="002D1DF6">
        <w:t>has on</w:t>
      </w:r>
      <w:r w:rsidR="002D1DF6">
        <w:rPr>
          <w:i/>
          <w:iCs/>
        </w:rPr>
        <w:t xml:space="preserve"> </w:t>
      </w:r>
      <w:r w:rsidR="006B0749">
        <w:t>US</w:t>
      </w:r>
      <w:r w:rsidR="002D1DF6">
        <w:t xml:space="preserve"> </w:t>
      </w:r>
      <w:r w:rsidR="006B0749">
        <w:t>lakes</w:t>
      </w:r>
      <w:r w:rsidR="002D1DF6">
        <w:t xml:space="preserve"> remains largely unknown,</w:t>
      </w:r>
      <w:r w:rsidR="006B0749">
        <w:t xml:space="preserve"> </w:t>
      </w:r>
      <w:r w:rsidR="002D1DF6">
        <w:t>though observations from isotope results (</w:t>
      </w:r>
      <w:r w:rsidR="006B0749">
        <w:t>e.g.</w:t>
      </w:r>
      <w:r w:rsidR="002D1DF6">
        <w:t xml:space="preserve"> </w:t>
      </w:r>
      <w:r w:rsidR="002D1DF6" w:rsidRPr="002D1DF6">
        <w:t>the apparent lack of predation on fish larvae</w:t>
      </w:r>
      <w:r w:rsidR="002D1DF6">
        <w:t xml:space="preserve">) should be useful to future research on the species. </w:t>
      </w:r>
    </w:p>
    <w:p w14:paraId="3C5F1145" w14:textId="0EB49798" w:rsidR="007F2699" w:rsidRPr="002F2E9F" w:rsidRDefault="007F2699" w:rsidP="00322FE9">
      <w:pPr>
        <w:pStyle w:val="Heading1"/>
        <w:spacing w:line="240" w:lineRule="auto"/>
        <w:rPr>
          <w:rStyle w:val="Strong"/>
        </w:rPr>
      </w:pPr>
      <w:r>
        <w:rPr>
          <w:b/>
          <w:color w:val="auto"/>
        </w:rPr>
        <w:lastRenderedPageBreak/>
        <w:t>Acknowledgements</w:t>
      </w:r>
    </w:p>
    <w:p w14:paraId="086F9977" w14:textId="5A33B4CC" w:rsidR="007F2699" w:rsidRPr="00DA61DB" w:rsidRDefault="002D1DF6" w:rsidP="00322FE9">
      <w:pPr>
        <w:spacing w:line="240" w:lineRule="auto"/>
        <w:jc w:val="left"/>
      </w:pPr>
      <w:r>
        <w:t xml:space="preserve">I would like to </w:t>
      </w:r>
      <w:r w:rsidR="0011576E">
        <w:t xml:space="preserve">offer my appreciation to </w:t>
      </w:r>
      <w:r>
        <w:t xml:space="preserve">the Edna Bailey Sussman Foundation for financial support of my summer research, and their encouragement of interaction with the NYSDEC; among whom I would like to especially thank </w:t>
      </w:r>
      <w:r w:rsidR="0011576E">
        <w:t xml:space="preserve">Catherine McGlynn for her involvement and </w:t>
      </w:r>
      <w:r>
        <w:t xml:space="preserve">Dr. Steven Pearson for </w:t>
      </w:r>
      <w:r w:rsidR="0011576E">
        <w:t>support</w:t>
      </w:r>
      <w:r>
        <w:t xml:space="preserve"> in the field and lab. I also thank</w:t>
      </w:r>
      <w:r w:rsidR="0011576E">
        <w:t xml:space="preserve"> the staff and faculty of Huntington Wildlife Forest for their assistance in researching Wolf Lake. I also thank Dr. Hyatt Green for his advisement and encouragement in my work</w:t>
      </w:r>
      <w:r w:rsidR="007E0285">
        <w:t xml:space="preserve">. </w:t>
      </w:r>
      <w:r w:rsidR="0011576E">
        <w:t xml:space="preserve">Finally, </w:t>
      </w:r>
      <w:r w:rsidR="007E0285">
        <w:t>I thank Dr.</w:t>
      </w:r>
      <w:r>
        <w:t xml:space="preserve"> Donald Stewart for </w:t>
      </w:r>
      <w:r w:rsidR="0011576E">
        <w:t xml:space="preserve">his </w:t>
      </w:r>
      <w:r>
        <w:t>many hours working</w:t>
      </w:r>
      <w:r w:rsidR="0011576E">
        <w:t xml:space="preserve"> w</w:t>
      </w:r>
      <w:r>
        <w:t xml:space="preserve">ith me </w:t>
      </w:r>
      <w:r w:rsidR="0011576E">
        <w:t>to h</w:t>
      </w:r>
      <w:r>
        <w:t>el</w:t>
      </w:r>
      <w:r w:rsidR="0011576E">
        <w:t xml:space="preserve">p </w:t>
      </w:r>
      <w:r>
        <w:t xml:space="preserve">overcome a variety of obstacles </w:t>
      </w:r>
      <w:r w:rsidR="0011576E">
        <w:t xml:space="preserve">associated with the project. </w:t>
      </w:r>
    </w:p>
    <w:p w14:paraId="4D2F57FE" w14:textId="77777777" w:rsidR="007E0285" w:rsidRDefault="007E0285">
      <w:pPr>
        <w:widowControl/>
        <w:jc w:val="left"/>
        <w:rPr>
          <w:rFonts w:asciiTheme="majorHAnsi" w:eastAsiaTheme="majorEastAsia" w:hAnsiTheme="majorHAnsi" w:cstheme="majorBidi"/>
          <w:b/>
          <w:sz w:val="32"/>
          <w:szCs w:val="32"/>
          <w:lang w:eastAsia="en-US"/>
        </w:rPr>
      </w:pPr>
      <w:r>
        <w:rPr>
          <w:b/>
        </w:rPr>
        <w:br w:type="page"/>
      </w:r>
    </w:p>
    <w:p w14:paraId="65C3FC88" w14:textId="6491EC9E" w:rsidR="00E43C26" w:rsidRPr="002F2E9F" w:rsidRDefault="00E43C26" w:rsidP="00322FE9">
      <w:pPr>
        <w:pStyle w:val="Heading1"/>
        <w:spacing w:line="240" w:lineRule="auto"/>
        <w:rPr>
          <w:rStyle w:val="Strong"/>
        </w:rPr>
      </w:pPr>
      <w:r>
        <w:rPr>
          <w:b/>
          <w:color w:val="auto"/>
        </w:rPr>
        <w:lastRenderedPageBreak/>
        <w:t>Literature Cited</w:t>
      </w:r>
    </w:p>
    <w:p w14:paraId="0DB208F5" w14:textId="77777777" w:rsidR="002125A6" w:rsidRPr="00F0054C" w:rsidRDefault="002125A6" w:rsidP="00322FE9">
      <w:pPr>
        <w:widowControl/>
        <w:spacing w:line="240" w:lineRule="auto"/>
        <w:ind w:left="720" w:hanging="720"/>
        <w:jc w:val="left"/>
        <w:rPr>
          <w:rFonts w:ascii="Calibri" w:eastAsia="Calibri" w:hAnsi="Calibri" w:cs="Times New Roman"/>
          <w:sz w:val="20"/>
          <w:szCs w:val="20"/>
          <w:lang w:eastAsia="en-US"/>
        </w:rPr>
      </w:pPr>
      <w:r w:rsidRPr="00F0054C">
        <w:rPr>
          <w:rFonts w:ascii="Calibri" w:eastAsia="Calibri" w:hAnsi="Calibri" w:cs="Times New Roman"/>
          <w:sz w:val="20"/>
          <w:szCs w:val="20"/>
          <w:lang w:eastAsia="en-US"/>
        </w:rPr>
        <w:t xml:space="preserve">Dendy, J. S. (1978). Polyps of </w:t>
      </w:r>
      <w:proofErr w:type="spellStart"/>
      <w:r w:rsidRPr="00F0054C">
        <w:rPr>
          <w:rFonts w:ascii="Calibri" w:eastAsia="Calibri" w:hAnsi="Calibri" w:cs="Times New Roman"/>
          <w:i/>
          <w:sz w:val="20"/>
          <w:szCs w:val="20"/>
          <w:lang w:eastAsia="en-US"/>
        </w:rPr>
        <w:t>Craspedacusta</w:t>
      </w:r>
      <w:proofErr w:type="spellEnd"/>
      <w:r w:rsidRPr="00F0054C">
        <w:rPr>
          <w:rFonts w:ascii="Calibri" w:eastAsia="Calibri" w:hAnsi="Calibri" w:cs="Times New Roman"/>
          <w:i/>
          <w:sz w:val="20"/>
          <w:szCs w:val="20"/>
          <w:lang w:eastAsia="en-US"/>
        </w:rPr>
        <w:t xml:space="preserve"> </w:t>
      </w:r>
      <w:proofErr w:type="spellStart"/>
      <w:r w:rsidRPr="00F0054C">
        <w:rPr>
          <w:rFonts w:ascii="Calibri" w:eastAsia="Calibri" w:hAnsi="Calibri" w:cs="Times New Roman"/>
          <w:i/>
          <w:sz w:val="20"/>
          <w:szCs w:val="20"/>
          <w:lang w:eastAsia="en-US"/>
        </w:rPr>
        <w:t>sowerbyi</w:t>
      </w:r>
      <w:proofErr w:type="spellEnd"/>
      <w:r w:rsidRPr="00F0054C">
        <w:rPr>
          <w:rFonts w:ascii="Calibri" w:eastAsia="Calibri" w:hAnsi="Calibri" w:cs="Times New Roman"/>
          <w:sz w:val="20"/>
          <w:szCs w:val="20"/>
          <w:lang w:eastAsia="en-US"/>
        </w:rPr>
        <w:t xml:space="preserve"> as predators on young striped bass. </w:t>
      </w:r>
      <w:r w:rsidRPr="00F0054C">
        <w:rPr>
          <w:rFonts w:ascii="Calibri" w:eastAsia="Calibri" w:hAnsi="Calibri" w:cs="Times New Roman"/>
          <w:i/>
          <w:iCs/>
          <w:sz w:val="20"/>
          <w:szCs w:val="20"/>
          <w:lang w:eastAsia="en-US"/>
        </w:rPr>
        <w:t>The Progressive Fish-Culturist</w:t>
      </w:r>
      <w:r w:rsidRPr="00F0054C">
        <w:rPr>
          <w:rFonts w:ascii="Calibri" w:eastAsia="Calibri" w:hAnsi="Calibri" w:cs="Times New Roman"/>
          <w:sz w:val="20"/>
          <w:szCs w:val="20"/>
          <w:lang w:eastAsia="en-US"/>
        </w:rPr>
        <w:t>, </w:t>
      </w:r>
      <w:r w:rsidRPr="00F0054C">
        <w:rPr>
          <w:rFonts w:ascii="Calibri" w:eastAsia="Calibri" w:hAnsi="Calibri" w:cs="Times New Roman"/>
          <w:i/>
          <w:iCs/>
          <w:sz w:val="20"/>
          <w:szCs w:val="20"/>
          <w:lang w:eastAsia="en-US"/>
        </w:rPr>
        <w:t>40</w:t>
      </w:r>
      <w:r w:rsidRPr="00F0054C">
        <w:rPr>
          <w:rFonts w:ascii="Calibri" w:eastAsia="Calibri" w:hAnsi="Calibri" w:cs="Times New Roman"/>
          <w:sz w:val="20"/>
          <w:szCs w:val="20"/>
          <w:lang w:eastAsia="en-US"/>
        </w:rPr>
        <w:t>(1), 5-6.</w:t>
      </w:r>
    </w:p>
    <w:p w14:paraId="020E5EEC" w14:textId="77777777" w:rsidR="002125A6" w:rsidRPr="00F0054C" w:rsidRDefault="002125A6" w:rsidP="00322FE9">
      <w:pPr>
        <w:widowControl/>
        <w:spacing w:line="240" w:lineRule="auto"/>
        <w:ind w:left="720" w:hanging="720"/>
        <w:jc w:val="left"/>
        <w:rPr>
          <w:rFonts w:ascii="Calibri" w:eastAsia="Calibri" w:hAnsi="Calibri" w:cs="Times New Roman"/>
          <w:sz w:val="20"/>
          <w:szCs w:val="20"/>
          <w:lang w:eastAsia="en-US"/>
        </w:rPr>
      </w:pPr>
      <w:r w:rsidRPr="00F0054C">
        <w:rPr>
          <w:rFonts w:ascii="Calibri" w:eastAsia="Calibri" w:hAnsi="Calibri" w:cs="Times New Roman"/>
          <w:sz w:val="20"/>
          <w:szCs w:val="20"/>
          <w:lang w:eastAsia="en-US"/>
        </w:rPr>
        <w:t xml:space="preserve">DeVries, D. R. (1992). The freshwater jellyfish </w:t>
      </w:r>
      <w:proofErr w:type="spellStart"/>
      <w:r w:rsidRPr="00F0054C">
        <w:rPr>
          <w:rFonts w:ascii="Calibri" w:eastAsia="Calibri" w:hAnsi="Calibri" w:cs="Times New Roman"/>
          <w:i/>
          <w:sz w:val="20"/>
          <w:szCs w:val="20"/>
          <w:lang w:eastAsia="en-US"/>
        </w:rPr>
        <w:t>Craspedacusta</w:t>
      </w:r>
      <w:proofErr w:type="spellEnd"/>
      <w:r w:rsidRPr="00F0054C">
        <w:rPr>
          <w:rFonts w:ascii="Calibri" w:eastAsia="Calibri" w:hAnsi="Calibri" w:cs="Times New Roman"/>
          <w:i/>
          <w:sz w:val="20"/>
          <w:szCs w:val="20"/>
          <w:lang w:eastAsia="en-US"/>
        </w:rPr>
        <w:t xml:space="preserve"> </w:t>
      </w:r>
      <w:proofErr w:type="spellStart"/>
      <w:r w:rsidRPr="00F0054C">
        <w:rPr>
          <w:rFonts w:ascii="Calibri" w:eastAsia="Calibri" w:hAnsi="Calibri" w:cs="Times New Roman"/>
          <w:i/>
          <w:sz w:val="20"/>
          <w:szCs w:val="20"/>
          <w:lang w:eastAsia="en-US"/>
        </w:rPr>
        <w:t>sowerbyi</w:t>
      </w:r>
      <w:proofErr w:type="spellEnd"/>
      <w:r w:rsidRPr="00F0054C">
        <w:rPr>
          <w:rFonts w:ascii="Calibri" w:eastAsia="Calibri" w:hAnsi="Calibri" w:cs="Times New Roman"/>
          <w:sz w:val="20"/>
          <w:szCs w:val="20"/>
          <w:lang w:eastAsia="en-US"/>
        </w:rPr>
        <w:t>: a summary of its life history, ecology, and distribution. </w:t>
      </w:r>
      <w:r w:rsidRPr="00F0054C">
        <w:rPr>
          <w:rFonts w:ascii="Calibri" w:eastAsia="Calibri" w:hAnsi="Calibri" w:cs="Times New Roman"/>
          <w:i/>
          <w:iCs/>
          <w:sz w:val="20"/>
          <w:szCs w:val="20"/>
          <w:lang w:eastAsia="en-US"/>
        </w:rPr>
        <w:t>Journal of Freshwater Ecology</w:t>
      </w:r>
      <w:r w:rsidRPr="00F0054C">
        <w:rPr>
          <w:rFonts w:ascii="Calibri" w:eastAsia="Calibri" w:hAnsi="Calibri" w:cs="Times New Roman"/>
          <w:sz w:val="20"/>
          <w:szCs w:val="20"/>
          <w:lang w:eastAsia="en-US"/>
        </w:rPr>
        <w:t>, </w:t>
      </w:r>
      <w:r w:rsidRPr="00F0054C">
        <w:rPr>
          <w:rFonts w:ascii="Calibri" w:eastAsia="Calibri" w:hAnsi="Calibri" w:cs="Times New Roman"/>
          <w:i/>
          <w:iCs/>
          <w:sz w:val="20"/>
          <w:szCs w:val="20"/>
          <w:lang w:eastAsia="en-US"/>
        </w:rPr>
        <w:t>7</w:t>
      </w:r>
      <w:r w:rsidRPr="00F0054C">
        <w:rPr>
          <w:rFonts w:ascii="Calibri" w:eastAsia="Calibri" w:hAnsi="Calibri" w:cs="Times New Roman"/>
          <w:sz w:val="20"/>
          <w:szCs w:val="20"/>
          <w:lang w:eastAsia="en-US"/>
        </w:rPr>
        <w:t>(1), 7-16.</w:t>
      </w:r>
    </w:p>
    <w:p w14:paraId="7C5C34E2" w14:textId="77777777" w:rsidR="002125A6" w:rsidRPr="00F0054C" w:rsidRDefault="002125A6" w:rsidP="00322FE9">
      <w:pPr>
        <w:widowControl/>
        <w:spacing w:line="240" w:lineRule="auto"/>
        <w:ind w:left="720" w:hanging="720"/>
        <w:jc w:val="left"/>
        <w:rPr>
          <w:rFonts w:ascii="Calibri" w:eastAsia="Calibri" w:hAnsi="Calibri" w:cs="Times New Roman"/>
          <w:sz w:val="20"/>
          <w:szCs w:val="20"/>
          <w:lang w:eastAsia="en-US"/>
        </w:rPr>
      </w:pPr>
      <w:r w:rsidRPr="00F0054C">
        <w:rPr>
          <w:rFonts w:ascii="Calibri" w:eastAsia="Calibri" w:hAnsi="Calibri" w:cs="Times New Roman"/>
          <w:sz w:val="20"/>
          <w:szCs w:val="20"/>
          <w:lang w:eastAsia="en-US"/>
        </w:rPr>
        <w:t xml:space="preserve">Dodson, S. I., &amp; Cooper, S. D. (1983). Trophic relationships of the freshwater jellyfish </w:t>
      </w:r>
      <w:proofErr w:type="spellStart"/>
      <w:r w:rsidRPr="00F0054C">
        <w:rPr>
          <w:rFonts w:ascii="Calibri" w:eastAsia="Calibri" w:hAnsi="Calibri" w:cs="Times New Roman"/>
          <w:i/>
          <w:sz w:val="20"/>
          <w:szCs w:val="20"/>
          <w:lang w:eastAsia="en-US"/>
        </w:rPr>
        <w:t>Craspedacusta</w:t>
      </w:r>
      <w:proofErr w:type="spellEnd"/>
      <w:r w:rsidRPr="00F0054C">
        <w:rPr>
          <w:rFonts w:ascii="Calibri" w:eastAsia="Calibri" w:hAnsi="Calibri" w:cs="Times New Roman"/>
          <w:i/>
          <w:sz w:val="20"/>
          <w:szCs w:val="20"/>
          <w:lang w:eastAsia="en-US"/>
        </w:rPr>
        <w:t xml:space="preserve"> </w:t>
      </w:r>
      <w:proofErr w:type="spellStart"/>
      <w:r w:rsidRPr="00F0054C">
        <w:rPr>
          <w:rFonts w:ascii="Calibri" w:eastAsia="Calibri" w:hAnsi="Calibri" w:cs="Times New Roman"/>
          <w:i/>
          <w:sz w:val="20"/>
          <w:szCs w:val="20"/>
          <w:lang w:eastAsia="en-US"/>
        </w:rPr>
        <w:t>sowerbyi</w:t>
      </w:r>
      <w:proofErr w:type="spellEnd"/>
      <w:r w:rsidRPr="00F0054C">
        <w:rPr>
          <w:rFonts w:ascii="Calibri" w:eastAsia="Calibri" w:hAnsi="Calibri" w:cs="Times New Roman"/>
          <w:sz w:val="20"/>
          <w:szCs w:val="20"/>
          <w:lang w:eastAsia="en-US"/>
        </w:rPr>
        <w:t xml:space="preserve"> </w:t>
      </w:r>
      <w:proofErr w:type="spellStart"/>
      <w:r w:rsidRPr="00F0054C">
        <w:rPr>
          <w:rFonts w:ascii="Calibri" w:eastAsia="Calibri" w:hAnsi="Calibri" w:cs="Times New Roman"/>
          <w:sz w:val="20"/>
          <w:szCs w:val="20"/>
          <w:lang w:eastAsia="en-US"/>
        </w:rPr>
        <w:t>Lankester</w:t>
      </w:r>
      <w:proofErr w:type="spellEnd"/>
      <w:r w:rsidRPr="00F0054C">
        <w:rPr>
          <w:rFonts w:ascii="Calibri" w:eastAsia="Calibri" w:hAnsi="Calibri" w:cs="Times New Roman"/>
          <w:sz w:val="20"/>
          <w:szCs w:val="20"/>
          <w:lang w:eastAsia="en-US"/>
        </w:rPr>
        <w:t xml:space="preserve"> 1880. </w:t>
      </w:r>
      <w:r w:rsidRPr="00F0054C">
        <w:rPr>
          <w:rFonts w:ascii="Calibri" w:eastAsia="Calibri" w:hAnsi="Calibri" w:cs="Times New Roman"/>
          <w:i/>
          <w:iCs/>
          <w:sz w:val="20"/>
          <w:szCs w:val="20"/>
          <w:lang w:eastAsia="en-US"/>
        </w:rPr>
        <w:t>Limnology and Oceanography</w:t>
      </w:r>
      <w:r w:rsidRPr="00F0054C">
        <w:rPr>
          <w:rFonts w:ascii="Calibri" w:eastAsia="Calibri" w:hAnsi="Calibri" w:cs="Times New Roman"/>
          <w:sz w:val="20"/>
          <w:szCs w:val="20"/>
          <w:lang w:eastAsia="en-US"/>
        </w:rPr>
        <w:t>, </w:t>
      </w:r>
      <w:r w:rsidRPr="00F0054C">
        <w:rPr>
          <w:rFonts w:ascii="Calibri" w:eastAsia="Calibri" w:hAnsi="Calibri" w:cs="Times New Roman"/>
          <w:i/>
          <w:iCs/>
          <w:sz w:val="20"/>
          <w:szCs w:val="20"/>
          <w:lang w:eastAsia="en-US"/>
        </w:rPr>
        <w:t>28</w:t>
      </w:r>
      <w:r w:rsidRPr="00F0054C">
        <w:rPr>
          <w:rFonts w:ascii="Calibri" w:eastAsia="Calibri" w:hAnsi="Calibri" w:cs="Times New Roman"/>
          <w:sz w:val="20"/>
          <w:szCs w:val="20"/>
          <w:lang w:eastAsia="en-US"/>
        </w:rPr>
        <w:t>(2), 345-351.</w:t>
      </w:r>
    </w:p>
    <w:p w14:paraId="7865C84C" w14:textId="77777777" w:rsidR="002125A6" w:rsidRPr="00F0054C" w:rsidRDefault="002125A6" w:rsidP="00322FE9">
      <w:pPr>
        <w:widowControl/>
        <w:spacing w:line="240" w:lineRule="auto"/>
        <w:ind w:left="720" w:hanging="720"/>
        <w:jc w:val="left"/>
        <w:rPr>
          <w:rFonts w:ascii="Calibri" w:eastAsia="Calibri" w:hAnsi="Calibri" w:cs="Times New Roman"/>
          <w:sz w:val="20"/>
          <w:szCs w:val="20"/>
          <w:lang w:eastAsia="en-US"/>
        </w:rPr>
      </w:pPr>
      <w:r w:rsidRPr="00F0054C">
        <w:rPr>
          <w:rFonts w:ascii="Calibri" w:eastAsia="Calibri" w:hAnsi="Calibri" w:cs="Times New Roman"/>
          <w:sz w:val="20"/>
          <w:szCs w:val="20"/>
          <w:lang w:eastAsia="en-US"/>
        </w:rPr>
        <w:t xml:space="preserve">Dumont, H. J. (1994). The distribution and ecology of the fresh-and brackish-water medusae of the world. </w:t>
      </w:r>
      <w:r w:rsidRPr="00F0054C">
        <w:rPr>
          <w:rFonts w:ascii="Calibri" w:eastAsia="Calibri" w:hAnsi="Calibri" w:cs="Times New Roman"/>
          <w:i/>
          <w:iCs/>
          <w:sz w:val="20"/>
          <w:szCs w:val="20"/>
          <w:lang w:eastAsia="en-US"/>
        </w:rPr>
        <w:t>Studies on the Ecology of Tropical Zooplankton</w:t>
      </w:r>
      <w:r w:rsidRPr="00F0054C">
        <w:rPr>
          <w:rFonts w:ascii="Calibri" w:eastAsia="Calibri" w:hAnsi="Calibri" w:cs="Times New Roman"/>
          <w:sz w:val="20"/>
          <w:szCs w:val="20"/>
          <w:lang w:eastAsia="en-US"/>
        </w:rPr>
        <w:t>, 1-12. Springer, Dordrecht.</w:t>
      </w:r>
    </w:p>
    <w:p w14:paraId="73C208A9" w14:textId="77777777" w:rsidR="002125A6" w:rsidRPr="00F0054C" w:rsidRDefault="002125A6" w:rsidP="00322FE9">
      <w:pPr>
        <w:widowControl/>
        <w:spacing w:line="240" w:lineRule="auto"/>
        <w:ind w:left="720" w:hanging="720"/>
        <w:jc w:val="left"/>
        <w:rPr>
          <w:rFonts w:ascii="Calibri" w:eastAsia="Calibri" w:hAnsi="Calibri" w:cs="Times New Roman"/>
          <w:sz w:val="20"/>
          <w:szCs w:val="20"/>
          <w:lang w:eastAsia="en-US"/>
        </w:rPr>
      </w:pPr>
      <w:proofErr w:type="spellStart"/>
      <w:r w:rsidRPr="00F0054C">
        <w:rPr>
          <w:rFonts w:ascii="Calibri" w:eastAsia="Calibri" w:hAnsi="Calibri" w:cs="Times New Roman"/>
          <w:sz w:val="20"/>
          <w:szCs w:val="20"/>
          <w:lang w:eastAsia="en-US"/>
        </w:rPr>
        <w:t>Feuchtmayr</w:t>
      </w:r>
      <w:proofErr w:type="spellEnd"/>
      <w:r w:rsidRPr="00F0054C">
        <w:rPr>
          <w:rFonts w:ascii="Calibri" w:eastAsia="Calibri" w:hAnsi="Calibri" w:cs="Times New Roman"/>
          <w:sz w:val="20"/>
          <w:szCs w:val="20"/>
          <w:lang w:eastAsia="en-US"/>
        </w:rPr>
        <w:t>, H., &amp; Grey, J. (2003). Effect of preparation and preservation procedures on carbon and nitrogen stable isotope determinations from zooplankton. </w:t>
      </w:r>
      <w:r w:rsidRPr="00F0054C">
        <w:rPr>
          <w:rFonts w:ascii="Calibri" w:eastAsia="Calibri" w:hAnsi="Calibri" w:cs="Times New Roman"/>
          <w:i/>
          <w:iCs/>
          <w:sz w:val="20"/>
          <w:szCs w:val="20"/>
          <w:lang w:eastAsia="en-US"/>
        </w:rPr>
        <w:t>Rapid Communications in Mass Spectrometry</w:t>
      </w:r>
      <w:r w:rsidRPr="00F0054C">
        <w:rPr>
          <w:rFonts w:ascii="Calibri" w:eastAsia="Calibri" w:hAnsi="Calibri" w:cs="Times New Roman"/>
          <w:sz w:val="20"/>
          <w:szCs w:val="20"/>
          <w:lang w:eastAsia="en-US"/>
        </w:rPr>
        <w:t>, </w:t>
      </w:r>
      <w:r w:rsidRPr="00F0054C">
        <w:rPr>
          <w:rFonts w:ascii="Calibri" w:eastAsia="Calibri" w:hAnsi="Calibri" w:cs="Times New Roman"/>
          <w:i/>
          <w:iCs/>
          <w:sz w:val="20"/>
          <w:szCs w:val="20"/>
          <w:lang w:eastAsia="en-US"/>
        </w:rPr>
        <w:t>17</w:t>
      </w:r>
      <w:r w:rsidRPr="00F0054C">
        <w:rPr>
          <w:rFonts w:ascii="Calibri" w:eastAsia="Calibri" w:hAnsi="Calibri" w:cs="Times New Roman"/>
          <w:sz w:val="20"/>
          <w:szCs w:val="20"/>
          <w:lang w:eastAsia="en-US"/>
        </w:rPr>
        <w:t>(23), 2605-2610.</w:t>
      </w:r>
    </w:p>
    <w:p w14:paraId="448DE3B9" w14:textId="77777777" w:rsidR="002125A6" w:rsidRPr="00F0054C" w:rsidRDefault="002125A6" w:rsidP="00322FE9">
      <w:pPr>
        <w:widowControl/>
        <w:spacing w:line="240" w:lineRule="auto"/>
        <w:ind w:left="720" w:hanging="720"/>
        <w:jc w:val="left"/>
        <w:rPr>
          <w:rFonts w:ascii="Calibri" w:eastAsia="Calibri" w:hAnsi="Calibri" w:cs="Times New Roman"/>
          <w:sz w:val="20"/>
          <w:szCs w:val="20"/>
          <w:lang w:eastAsia="en-US"/>
        </w:rPr>
      </w:pPr>
      <w:r w:rsidRPr="00F0054C">
        <w:rPr>
          <w:rFonts w:ascii="Calibri" w:eastAsia="Calibri" w:hAnsi="Calibri" w:cs="Times New Roman"/>
          <w:sz w:val="20"/>
          <w:szCs w:val="20"/>
          <w:lang w:eastAsia="en-US"/>
        </w:rPr>
        <w:t xml:space="preserve">Fritz, G. B., Pfannkuchen, M., </w:t>
      </w:r>
      <w:proofErr w:type="spellStart"/>
      <w:r w:rsidRPr="00F0054C">
        <w:rPr>
          <w:rFonts w:ascii="Calibri" w:eastAsia="Calibri" w:hAnsi="Calibri" w:cs="Times New Roman"/>
          <w:sz w:val="20"/>
          <w:szCs w:val="20"/>
          <w:lang w:eastAsia="en-US"/>
        </w:rPr>
        <w:t>Reuner</w:t>
      </w:r>
      <w:proofErr w:type="spellEnd"/>
      <w:r w:rsidRPr="00F0054C">
        <w:rPr>
          <w:rFonts w:ascii="Calibri" w:eastAsia="Calibri" w:hAnsi="Calibri" w:cs="Times New Roman"/>
          <w:sz w:val="20"/>
          <w:szCs w:val="20"/>
          <w:lang w:eastAsia="en-US"/>
        </w:rPr>
        <w:t xml:space="preserve">, A., </w:t>
      </w:r>
      <w:proofErr w:type="spellStart"/>
      <w:r w:rsidRPr="00F0054C">
        <w:rPr>
          <w:rFonts w:ascii="Calibri" w:eastAsia="Calibri" w:hAnsi="Calibri" w:cs="Times New Roman"/>
          <w:sz w:val="20"/>
          <w:szCs w:val="20"/>
          <w:lang w:eastAsia="en-US"/>
        </w:rPr>
        <w:t>Schill</w:t>
      </w:r>
      <w:proofErr w:type="spellEnd"/>
      <w:r w:rsidRPr="00F0054C">
        <w:rPr>
          <w:rFonts w:ascii="Calibri" w:eastAsia="Calibri" w:hAnsi="Calibri" w:cs="Times New Roman"/>
          <w:sz w:val="20"/>
          <w:szCs w:val="20"/>
          <w:lang w:eastAsia="en-US"/>
        </w:rPr>
        <w:t xml:space="preserve">, R. O., &amp; </w:t>
      </w:r>
      <w:proofErr w:type="spellStart"/>
      <w:r w:rsidRPr="00F0054C">
        <w:rPr>
          <w:rFonts w:ascii="Calibri" w:eastAsia="Calibri" w:hAnsi="Calibri" w:cs="Times New Roman"/>
          <w:sz w:val="20"/>
          <w:szCs w:val="20"/>
          <w:lang w:eastAsia="en-US"/>
        </w:rPr>
        <w:t>Brümmer</w:t>
      </w:r>
      <w:proofErr w:type="spellEnd"/>
      <w:r w:rsidRPr="00F0054C">
        <w:rPr>
          <w:rFonts w:ascii="Calibri" w:eastAsia="Calibri" w:hAnsi="Calibri" w:cs="Times New Roman"/>
          <w:sz w:val="20"/>
          <w:szCs w:val="20"/>
          <w:lang w:eastAsia="en-US"/>
        </w:rPr>
        <w:t xml:space="preserve">, F. (2009). </w:t>
      </w:r>
      <w:proofErr w:type="spellStart"/>
      <w:r w:rsidRPr="00F0054C">
        <w:rPr>
          <w:rFonts w:ascii="Calibri" w:eastAsia="Calibri" w:hAnsi="Calibri" w:cs="Times New Roman"/>
          <w:i/>
          <w:sz w:val="20"/>
          <w:szCs w:val="20"/>
          <w:lang w:eastAsia="en-US"/>
        </w:rPr>
        <w:t>Craspedacusta</w:t>
      </w:r>
      <w:proofErr w:type="spellEnd"/>
      <w:r w:rsidRPr="00F0054C">
        <w:rPr>
          <w:rFonts w:ascii="Calibri" w:eastAsia="Calibri" w:hAnsi="Calibri" w:cs="Times New Roman"/>
          <w:i/>
          <w:sz w:val="20"/>
          <w:szCs w:val="20"/>
          <w:lang w:eastAsia="en-US"/>
        </w:rPr>
        <w:t xml:space="preserve"> sowerbii</w:t>
      </w:r>
      <w:r w:rsidRPr="00F0054C">
        <w:rPr>
          <w:rFonts w:ascii="Calibri" w:eastAsia="Calibri" w:hAnsi="Calibri" w:cs="Times New Roman"/>
          <w:sz w:val="20"/>
          <w:szCs w:val="20"/>
          <w:lang w:eastAsia="en-US"/>
        </w:rPr>
        <w:t xml:space="preserve">, </w:t>
      </w:r>
      <w:proofErr w:type="spellStart"/>
      <w:r w:rsidRPr="00F0054C">
        <w:rPr>
          <w:rFonts w:ascii="Calibri" w:eastAsia="Calibri" w:hAnsi="Calibri" w:cs="Times New Roman"/>
          <w:sz w:val="20"/>
          <w:szCs w:val="20"/>
          <w:lang w:eastAsia="en-US"/>
        </w:rPr>
        <w:t>Lankester</w:t>
      </w:r>
      <w:proofErr w:type="spellEnd"/>
      <w:r w:rsidRPr="00F0054C">
        <w:rPr>
          <w:rFonts w:ascii="Calibri" w:eastAsia="Calibri" w:hAnsi="Calibri" w:cs="Times New Roman"/>
          <w:sz w:val="20"/>
          <w:szCs w:val="20"/>
          <w:lang w:eastAsia="en-US"/>
        </w:rPr>
        <w:t xml:space="preserve"> 1880-population dispersal analysis using COI and ITS sequences. </w:t>
      </w:r>
      <w:r w:rsidRPr="00F0054C">
        <w:rPr>
          <w:rFonts w:ascii="Calibri" w:eastAsia="Calibri" w:hAnsi="Calibri" w:cs="Times New Roman"/>
          <w:i/>
          <w:sz w:val="20"/>
          <w:szCs w:val="20"/>
          <w:lang w:eastAsia="en-US"/>
        </w:rPr>
        <w:t>Journal of Limnology</w:t>
      </w:r>
      <w:r w:rsidRPr="00F0054C">
        <w:rPr>
          <w:rFonts w:ascii="Calibri" w:eastAsia="Calibri" w:hAnsi="Calibri" w:cs="Times New Roman"/>
          <w:sz w:val="20"/>
          <w:szCs w:val="20"/>
          <w:lang w:eastAsia="en-US"/>
        </w:rPr>
        <w:t xml:space="preserve">, </w:t>
      </w:r>
      <w:r w:rsidRPr="00F0054C">
        <w:rPr>
          <w:rFonts w:ascii="Calibri" w:eastAsia="Calibri" w:hAnsi="Calibri" w:cs="Times New Roman"/>
          <w:i/>
          <w:sz w:val="20"/>
          <w:szCs w:val="20"/>
          <w:lang w:eastAsia="en-US"/>
        </w:rPr>
        <w:t>68</w:t>
      </w:r>
      <w:r w:rsidRPr="00F0054C">
        <w:rPr>
          <w:rFonts w:ascii="Calibri" w:eastAsia="Calibri" w:hAnsi="Calibri" w:cs="Times New Roman"/>
          <w:sz w:val="20"/>
          <w:szCs w:val="20"/>
          <w:lang w:eastAsia="en-US"/>
        </w:rPr>
        <w:t>(1). 46-52.</w:t>
      </w:r>
    </w:p>
    <w:p w14:paraId="126617FC" w14:textId="77777777" w:rsidR="002125A6" w:rsidRPr="00F0054C" w:rsidRDefault="002125A6" w:rsidP="00322FE9">
      <w:pPr>
        <w:widowControl/>
        <w:spacing w:line="240" w:lineRule="auto"/>
        <w:ind w:left="720" w:hanging="720"/>
        <w:jc w:val="left"/>
        <w:rPr>
          <w:rFonts w:ascii="Calibri" w:eastAsia="Calibri" w:hAnsi="Calibri" w:cs="Times New Roman"/>
          <w:sz w:val="20"/>
          <w:szCs w:val="20"/>
          <w:lang w:eastAsia="en-US"/>
        </w:rPr>
      </w:pPr>
      <w:r w:rsidRPr="00F0054C">
        <w:rPr>
          <w:rFonts w:ascii="Calibri" w:eastAsia="Calibri" w:hAnsi="Calibri" w:cs="Times New Roman"/>
          <w:i/>
          <w:sz w:val="20"/>
          <w:szCs w:val="20"/>
          <w:lang w:eastAsia="en-US"/>
        </w:rPr>
        <w:t xml:space="preserve">GenBank. </w:t>
      </w:r>
      <w:r w:rsidRPr="00F0054C">
        <w:rPr>
          <w:rFonts w:ascii="Calibri" w:eastAsia="Calibri" w:hAnsi="Calibri" w:cs="Times New Roman"/>
          <w:sz w:val="20"/>
          <w:szCs w:val="20"/>
          <w:lang w:eastAsia="en-US"/>
        </w:rPr>
        <w:t>Retrieved from: https://www.ncbi.nlm.nih.gov/genbank/</w:t>
      </w:r>
    </w:p>
    <w:p w14:paraId="275B13A0" w14:textId="77777777" w:rsidR="002125A6" w:rsidRPr="00F0054C" w:rsidRDefault="002125A6" w:rsidP="00322FE9">
      <w:pPr>
        <w:widowControl/>
        <w:spacing w:line="240" w:lineRule="auto"/>
        <w:ind w:left="720" w:hanging="720"/>
        <w:jc w:val="left"/>
        <w:rPr>
          <w:rFonts w:ascii="Calibri" w:eastAsia="Calibri" w:hAnsi="Calibri" w:cs="Times New Roman"/>
          <w:sz w:val="20"/>
          <w:szCs w:val="20"/>
          <w:lang w:eastAsia="en-US"/>
        </w:rPr>
      </w:pPr>
      <w:r w:rsidRPr="00F0054C">
        <w:rPr>
          <w:rFonts w:ascii="Calibri" w:eastAsia="Calibri" w:hAnsi="Calibri" w:cs="Times New Roman"/>
          <w:sz w:val="20"/>
          <w:szCs w:val="20"/>
          <w:lang w:eastAsia="en-US"/>
        </w:rPr>
        <w:t xml:space="preserve">Hamilton, S. K., Lewis, W. M., &amp; </w:t>
      </w:r>
      <w:proofErr w:type="spellStart"/>
      <w:r w:rsidRPr="00F0054C">
        <w:rPr>
          <w:rFonts w:ascii="Calibri" w:eastAsia="Calibri" w:hAnsi="Calibri" w:cs="Times New Roman"/>
          <w:sz w:val="20"/>
          <w:szCs w:val="20"/>
          <w:lang w:eastAsia="en-US"/>
        </w:rPr>
        <w:t>Sippel</w:t>
      </w:r>
      <w:proofErr w:type="spellEnd"/>
      <w:r w:rsidRPr="00F0054C">
        <w:rPr>
          <w:rFonts w:ascii="Calibri" w:eastAsia="Calibri" w:hAnsi="Calibri" w:cs="Times New Roman"/>
          <w:sz w:val="20"/>
          <w:szCs w:val="20"/>
          <w:lang w:eastAsia="en-US"/>
        </w:rPr>
        <w:t>, S. J. (1992). Energy sources for aquatic animals in the Orinoco River floodplain: evidence from stable isotopes. </w:t>
      </w:r>
      <w:proofErr w:type="spellStart"/>
      <w:r w:rsidRPr="00F0054C">
        <w:rPr>
          <w:rFonts w:ascii="Calibri" w:eastAsia="Calibri" w:hAnsi="Calibri" w:cs="Times New Roman"/>
          <w:i/>
          <w:iCs/>
          <w:sz w:val="20"/>
          <w:szCs w:val="20"/>
          <w:lang w:eastAsia="en-US"/>
        </w:rPr>
        <w:t>Oecologia</w:t>
      </w:r>
      <w:proofErr w:type="spellEnd"/>
      <w:r w:rsidRPr="00F0054C">
        <w:rPr>
          <w:rFonts w:ascii="Calibri" w:eastAsia="Calibri" w:hAnsi="Calibri" w:cs="Times New Roman"/>
          <w:sz w:val="20"/>
          <w:szCs w:val="20"/>
          <w:lang w:eastAsia="en-US"/>
        </w:rPr>
        <w:t>, </w:t>
      </w:r>
      <w:r w:rsidRPr="00F0054C">
        <w:rPr>
          <w:rFonts w:ascii="Calibri" w:eastAsia="Calibri" w:hAnsi="Calibri" w:cs="Times New Roman"/>
          <w:i/>
          <w:iCs/>
          <w:sz w:val="20"/>
          <w:szCs w:val="20"/>
          <w:lang w:eastAsia="en-US"/>
        </w:rPr>
        <w:t>89</w:t>
      </w:r>
      <w:r w:rsidRPr="00F0054C">
        <w:rPr>
          <w:rFonts w:ascii="Calibri" w:eastAsia="Calibri" w:hAnsi="Calibri" w:cs="Times New Roman"/>
          <w:sz w:val="20"/>
          <w:szCs w:val="20"/>
          <w:lang w:eastAsia="en-US"/>
        </w:rPr>
        <w:t>(3), 324-330.</w:t>
      </w:r>
    </w:p>
    <w:p w14:paraId="6C0CB112" w14:textId="77777777" w:rsidR="002125A6" w:rsidRPr="00F0054C" w:rsidRDefault="002125A6" w:rsidP="00322FE9">
      <w:pPr>
        <w:widowControl/>
        <w:spacing w:line="240" w:lineRule="auto"/>
        <w:ind w:left="720" w:hanging="720"/>
        <w:jc w:val="left"/>
        <w:rPr>
          <w:rFonts w:ascii="Calibri" w:eastAsia="Calibri" w:hAnsi="Calibri" w:cs="Times New Roman"/>
          <w:sz w:val="20"/>
          <w:szCs w:val="20"/>
          <w:lang w:eastAsia="en-US"/>
        </w:rPr>
      </w:pPr>
      <w:r w:rsidRPr="00F0054C">
        <w:rPr>
          <w:rFonts w:ascii="Calibri" w:eastAsia="Calibri" w:hAnsi="Calibri" w:cs="Times New Roman"/>
          <w:sz w:val="20"/>
          <w:szCs w:val="20"/>
          <w:lang w:eastAsia="en-US"/>
        </w:rPr>
        <w:t>Jankowski, T. (2001). The freshwater medusae of the world–a taxonomic and systematic literature study with some remarks on other inland water jellyfish. </w:t>
      </w:r>
      <w:proofErr w:type="spellStart"/>
      <w:r w:rsidRPr="00F0054C">
        <w:rPr>
          <w:rFonts w:ascii="Calibri" w:eastAsia="Calibri" w:hAnsi="Calibri" w:cs="Times New Roman"/>
          <w:i/>
          <w:iCs/>
          <w:sz w:val="20"/>
          <w:szCs w:val="20"/>
          <w:lang w:eastAsia="en-US"/>
        </w:rPr>
        <w:t>Hydrobiologia</w:t>
      </w:r>
      <w:proofErr w:type="spellEnd"/>
      <w:r w:rsidRPr="00F0054C">
        <w:rPr>
          <w:rFonts w:ascii="Calibri" w:eastAsia="Calibri" w:hAnsi="Calibri" w:cs="Times New Roman"/>
          <w:sz w:val="20"/>
          <w:szCs w:val="20"/>
          <w:lang w:eastAsia="en-US"/>
        </w:rPr>
        <w:t>, </w:t>
      </w:r>
      <w:r w:rsidRPr="00F0054C">
        <w:rPr>
          <w:rFonts w:ascii="Calibri" w:eastAsia="Calibri" w:hAnsi="Calibri" w:cs="Times New Roman"/>
          <w:i/>
          <w:iCs/>
          <w:sz w:val="20"/>
          <w:szCs w:val="20"/>
          <w:lang w:eastAsia="en-US"/>
        </w:rPr>
        <w:t>462</w:t>
      </w:r>
      <w:r w:rsidRPr="00F0054C">
        <w:rPr>
          <w:rFonts w:ascii="Calibri" w:eastAsia="Calibri" w:hAnsi="Calibri" w:cs="Times New Roman"/>
          <w:sz w:val="20"/>
          <w:szCs w:val="20"/>
          <w:lang w:eastAsia="en-US"/>
        </w:rPr>
        <w:t>(1-3), 91-113.</w:t>
      </w:r>
    </w:p>
    <w:p w14:paraId="06D61A65" w14:textId="4DA4374E" w:rsidR="002125A6" w:rsidRPr="00F0054C" w:rsidRDefault="00F81724" w:rsidP="00322FE9">
      <w:pPr>
        <w:widowControl/>
        <w:spacing w:line="240" w:lineRule="auto"/>
        <w:ind w:left="720" w:hanging="720"/>
        <w:jc w:val="left"/>
        <w:rPr>
          <w:rFonts w:ascii="Calibri" w:eastAsia="Calibri" w:hAnsi="Calibri" w:cs="Times New Roman"/>
          <w:sz w:val="20"/>
          <w:szCs w:val="20"/>
          <w:lang w:eastAsia="en-US"/>
        </w:rPr>
      </w:pPr>
      <w:bookmarkStart w:id="17" w:name="_Hlk5746518"/>
      <w:bookmarkStart w:id="18" w:name="_Hlk29563130"/>
      <w:proofErr w:type="spellStart"/>
      <w:r w:rsidRPr="00F0054C">
        <w:rPr>
          <w:rFonts w:ascii="Calibri" w:eastAsia="Calibri" w:hAnsi="Calibri" w:cs="Times New Roman"/>
          <w:sz w:val="20"/>
          <w:szCs w:val="20"/>
          <w:lang w:eastAsia="en-US"/>
        </w:rPr>
        <w:t>Leite</w:t>
      </w:r>
      <w:bookmarkEnd w:id="18"/>
      <w:proofErr w:type="spellEnd"/>
      <w:r w:rsidRPr="00F0054C">
        <w:rPr>
          <w:rFonts w:ascii="Calibri" w:eastAsia="Calibri" w:hAnsi="Calibri" w:cs="Times New Roman"/>
          <w:sz w:val="20"/>
          <w:szCs w:val="20"/>
          <w:lang w:eastAsia="en-US"/>
        </w:rPr>
        <w:t>, R. G., Araújo‐Lima, C. A. R. M., Victoria, R. L., &amp; Martinelli, L. A. (2002). Stable isotope analysis of energy sources for larvae of eight fish species from the Amazon floodplain. </w:t>
      </w:r>
      <w:r w:rsidRPr="00F0054C">
        <w:rPr>
          <w:rFonts w:ascii="Calibri" w:eastAsia="Calibri" w:hAnsi="Calibri" w:cs="Times New Roman"/>
          <w:i/>
          <w:iCs/>
          <w:sz w:val="20"/>
          <w:szCs w:val="20"/>
          <w:lang w:eastAsia="en-US"/>
        </w:rPr>
        <w:t>Ecology of Freshwater Fish</w:t>
      </w:r>
      <w:r w:rsidRPr="00F0054C">
        <w:rPr>
          <w:rFonts w:ascii="Calibri" w:eastAsia="Calibri" w:hAnsi="Calibri" w:cs="Times New Roman"/>
          <w:sz w:val="20"/>
          <w:szCs w:val="20"/>
          <w:lang w:eastAsia="en-US"/>
        </w:rPr>
        <w:t>, </w:t>
      </w:r>
      <w:r w:rsidRPr="00F0054C">
        <w:rPr>
          <w:rFonts w:ascii="Calibri" w:eastAsia="Calibri" w:hAnsi="Calibri" w:cs="Times New Roman"/>
          <w:i/>
          <w:iCs/>
          <w:sz w:val="20"/>
          <w:szCs w:val="20"/>
          <w:lang w:eastAsia="en-US"/>
        </w:rPr>
        <w:t>11</w:t>
      </w:r>
      <w:r w:rsidRPr="00F0054C">
        <w:rPr>
          <w:rFonts w:ascii="Calibri" w:eastAsia="Calibri" w:hAnsi="Calibri" w:cs="Times New Roman"/>
          <w:sz w:val="20"/>
          <w:szCs w:val="20"/>
          <w:lang w:eastAsia="en-US"/>
        </w:rPr>
        <w:t>(1), 56-63.</w:t>
      </w:r>
      <w:bookmarkEnd w:id="17"/>
    </w:p>
    <w:p w14:paraId="1DDB94B8" w14:textId="77777777" w:rsidR="002125A6" w:rsidRPr="00F0054C" w:rsidRDefault="002125A6" w:rsidP="00322FE9">
      <w:pPr>
        <w:widowControl/>
        <w:spacing w:line="240" w:lineRule="auto"/>
        <w:ind w:left="720" w:hanging="720"/>
        <w:jc w:val="left"/>
        <w:rPr>
          <w:rFonts w:ascii="Calibri" w:eastAsia="Calibri" w:hAnsi="Calibri" w:cs="Times New Roman"/>
          <w:sz w:val="20"/>
          <w:szCs w:val="20"/>
          <w:lang w:eastAsia="en-US"/>
        </w:rPr>
      </w:pPr>
      <w:r w:rsidRPr="00F0054C">
        <w:rPr>
          <w:rFonts w:ascii="Calibri" w:eastAsia="Calibri" w:hAnsi="Calibri" w:cs="Times New Roman"/>
          <w:sz w:val="20"/>
          <w:szCs w:val="20"/>
          <w:lang w:eastAsia="en-US"/>
        </w:rPr>
        <w:t xml:space="preserve">NYSDEC. (2019). </w:t>
      </w:r>
      <w:r w:rsidRPr="00F0054C">
        <w:rPr>
          <w:rFonts w:ascii="Calibri" w:eastAsia="Calibri" w:hAnsi="Calibri" w:cs="Times New Roman"/>
          <w:i/>
          <w:sz w:val="20"/>
          <w:szCs w:val="20"/>
          <w:lang w:eastAsia="en-US"/>
        </w:rPr>
        <w:t xml:space="preserve">Aquatic Invasive Species in New York State. </w:t>
      </w:r>
      <w:r w:rsidRPr="00F0054C">
        <w:rPr>
          <w:rFonts w:ascii="Calibri" w:eastAsia="Calibri" w:hAnsi="Calibri" w:cs="Times New Roman"/>
          <w:sz w:val="20"/>
          <w:szCs w:val="20"/>
          <w:lang w:eastAsia="en-US"/>
        </w:rPr>
        <w:t>Retrieved from: https://www.dec.ny.gov/animals/50121.html</w:t>
      </w:r>
    </w:p>
    <w:p w14:paraId="0BE518A2" w14:textId="77777777" w:rsidR="002125A6" w:rsidRPr="00F0054C" w:rsidRDefault="002125A6" w:rsidP="00322FE9">
      <w:pPr>
        <w:widowControl/>
        <w:spacing w:line="240" w:lineRule="auto"/>
        <w:ind w:left="720" w:hanging="720"/>
        <w:jc w:val="left"/>
        <w:rPr>
          <w:rFonts w:ascii="Calibri" w:eastAsia="Calibri" w:hAnsi="Calibri" w:cs="Times New Roman"/>
          <w:sz w:val="20"/>
          <w:szCs w:val="20"/>
          <w:lang w:eastAsia="en-US"/>
        </w:rPr>
      </w:pPr>
      <w:proofErr w:type="spellStart"/>
      <w:r w:rsidRPr="00F0054C">
        <w:rPr>
          <w:rFonts w:ascii="Calibri" w:eastAsia="Calibri" w:hAnsi="Calibri" w:cs="Times New Roman"/>
          <w:sz w:val="20"/>
          <w:szCs w:val="20"/>
          <w:lang w:eastAsia="en-US"/>
        </w:rPr>
        <w:t>Peard</w:t>
      </w:r>
      <w:proofErr w:type="spellEnd"/>
      <w:r w:rsidRPr="00F0054C">
        <w:rPr>
          <w:rFonts w:ascii="Calibri" w:eastAsia="Calibri" w:hAnsi="Calibri" w:cs="Times New Roman"/>
          <w:sz w:val="20"/>
          <w:szCs w:val="20"/>
          <w:lang w:eastAsia="en-US"/>
        </w:rPr>
        <w:t xml:space="preserve">, T. P. (2018, August 29). </w:t>
      </w:r>
      <w:r w:rsidRPr="00F0054C">
        <w:rPr>
          <w:rFonts w:ascii="Calibri" w:eastAsia="Calibri" w:hAnsi="Calibri" w:cs="Times New Roman"/>
          <w:i/>
          <w:sz w:val="20"/>
          <w:szCs w:val="20"/>
          <w:lang w:eastAsia="en-US"/>
        </w:rPr>
        <w:t>Freshwater Jellyfish</w:t>
      </w:r>
      <w:r w:rsidRPr="00F0054C">
        <w:rPr>
          <w:rFonts w:ascii="Calibri" w:eastAsia="Calibri" w:hAnsi="Calibri" w:cs="Times New Roman"/>
          <w:sz w:val="20"/>
          <w:szCs w:val="20"/>
          <w:lang w:eastAsia="en-US"/>
        </w:rPr>
        <w:t>. Retrieved from: http://freshwaterjellyfish.org/</w:t>
      </w:r>
    </w:p>
    <w:p w14:paraId="6EEEC4C2" w14:textId="77777777" w:rsidR="002125A6" w:rsidRPr="00F0054C" w:rsidRDefault="002125A6" w:rsidP="00322FE9">
      <w:pPr>
        <w:widowControl/>
        <w:spacing w:line="240" w:lineRule="auto"/>
        <w:ind w:left="720" w:hanging="720"/>
        <w:jc w:val="left"/>
        <w:rPr>
          <w:rFonts w:ascii="Calibri" w:eastAsia="Calibri" w:hAnsi="Calibri" w:cs="Times New Roman"/>
          <w:sz w:val="20"/>
          <w:szCs w:val="20"/>
          <w:lang w:eastAsia="en-US"/>
        </w:rPr>
      </w:pPr>
      <w:proofErr w:type="spellStart"/>
      <w:r w:rsidRPr="00F0054C">
        <w:rPr>
          <w:rFonts w:ascii="Calibri" w:eastAsia="Calibri" w:hAnsi="Calibri" w:cs="Times New Roman"/>
          <w:sz w:val="20"/>
          <w:szCs w:val="20"/>
          <w:lang w:eastAsia="en-US"/>
        </w:rPr>
        <w:t>Pejchar</w:t>
      </w:r>
      <w:proofErr w:type="spellEnd"/>
      <w:r w:rsidRPr="00F0054C">
        <w:rPr>
          <w:rFonts w:ascii="Calibri" w:eastAsia="Calibri" w:hAnsi="Calibri" w:cs="Times New Roman"/>
          <w:sz w:val="20"/>
          <w:szCs w:val="20"/>
          <w:lang w:eastAsia="en-US"/>
        </w:rPr>
        <w:t>, L., &amp; Mooney, H. A. (2009). Invasive species, ecosystem services and human well-being. </w:t>
      </w:r>
      <w:r w:rsidRPr="00F0054C">
        <w:rPr>
          <w:rFonts w:ascii="Calibri" w:eastAsia="Calibri" w:hAnsi="Calibri" w:cs="Times New Roman"/>
          <w:i/>
          <w:iCs/>
          <w:sz w:val="20"/>
          <w:szCs w:val="20"/>
          <w:lang w:eastAsia="en-US"/>
        </w:rPr>
        <w:t>Trends in Ecology &amp; Evolution</w:t>
      </w:r>
      <w:r w:rsidRPr="00F0054C">
        <w:rPr>
          <w:rFonts w:ascii="Calibri" w:eastAsia="Calibri" w:hAnsi="Calibri" w:cs="Times New Roman"/>
          <w:sz w:val="20"/>
          <w:szCs w:val="20"/>
          <w:lang w:eastAsia="en-US"/>
        </w:rPr>
        <w:t>, </w:t>
      </w:r>
      <w:r w:rsidRPr="00F0054C">
        <w:rPr>
          <w:rFonts w:ascii="Calibri" w:eastAsia="Calibri" w:hAnsi="Calibri" w:cs="Times New Roman"/>
          <w:i/>
          <w:iCs/>
          <w:sz w:val="20"/>
          <w:szCs w:val="20"/>
          <w:lang w:eastAsia="en-US"/>
        </w:rPr>
        <w:t>24</w:t>
      </w:r>
      <w:r w:rsidRPr="00F0054C">
        <w:rPr>
          <w:rFonts w:ascii="Calibri" w:eastAsia="Calibri" w:hAnsi="Calibri" w:cs="Times New Roman"/>
          <w:sz w:val="20"/>
          <w:szCs w:val="20"/>
          <w:lang w:eastAsia="en-US"/>
        </w:rPr>
        <w:t>(9), 497-504.</w:t>
      </w:r>
    </w:p>
    <w:p w14:paraId="58FF325F" w14:textId="77777777" w:rsidR="002125A6" w:rsidRPr="00F0054C" w:rsidRDefault="002125A6" w:rsidP="00322FE9">
      <w:pPr>
        <w:widowControl/>
        <w:spacing w:line="240" w:lineRule="auto"/>
        <w:ind w:left="720" w:hanging="720"/>
        <w:jc w:val="left"/>
        <w:rPr>
          <w:rFonts w:ascii="Calibri" w:eastAsia="Calibri" w:hAnsi="Calibri" w:cs="Times New Roman"/>
          <w:i/>
          <w:sz w:val="20"/>
          <w:szCs w:val="20"/>
          <w:lang w:eastAsia="en-US"/>
        </w:rPr>
      </w:pPr>
      <w:r w:rsidRPr="00F0054C">
        <w:rPr>
          <w:rFonts w:ascii="Calibri" w:eastAsia="Calibri" w:hAnsi="Calibri" w:cs="Times New Roman"/>
          <w:sz w:val="20"/>
          <w:szCs w:val="20"/>
          <w:lang w:eastAsia="en-US"/>
        </w:rPr>
        <w:t xml:space="preserve">Qiagen. (2019). </w:t>
      </w:r>
      <w:proofErr w:type="spellStart"/>
      <w:r w:rsidRPr="00F0054C">
        <w:rPr>
          <w:rFonts w:ascii="Calibri" w:eastAsia="Calibri" w:hAnsi="Calibri" w:cs="Times New Roman"/>
          <w:i/>
          <w:sz w:val="20"/>
          <w:szCs w:val="20"/>
          <w:lang w:eastAsia="en-US"/>
        </w:rPr>
        <w:t>DNeasy</w:t>
      </w:r>
      <w:proofErr w:type="spellEnd"/>
      <w:r w:rsidRPr="00F0054C">
        <w:rPr>
          <w:rFonts w:ascii="Calibri" w:eastAsia="Calibri" w:hAnsi="Calibri" w:cs="Times New Roman"/>
          <w:i/>
          <w:sz w:val="20"/>
          <w:szCs w:val="20"/>
          <w:lang w:eastAsia="en-US"/>
        </w:rPr>
        <w:t xml:space="preserve"> Blood &amp; Tissue Handbook. </w:t>
      </w:r>
      <w:r w:rsidRPr="00F0054C">
        <w:rPr>
          <w:rFonts w:ascii="Calibri" w:eastAsia="Calibri" w:hAnsi="Calibri" w:cs="Times New Roman"/>
          <w:sz w:val="20"/>
          <w:szCs w:val="20"/>
          <w:lang w:eastAsia="en-US"/>
        </w:rPr>
        <w:t>Retrieved from: https://www.qiagen.com/mx/resources/resourcedetail?id=6b09dfb8-6319-464d-996c-79e8c7045a50&amp;lang=en</w:t>
      </w:r>
    </w:p>
    <w:p w14:paraId="513C55EE" w14:textId="77777777" w:rsidR="002125A6" w:rsidRPr="00F0054C" w:rsidRDefault="002125A6" w:rsidP="00322FE9">
      <w:pPr>
        <w:widowControl/>
        <w:spacing w:line="240" w:lineRule="auto"/>
        <w:ind w:left="720" w:hanging="720"/>
        <w:jc w:val="left"/>
        <w:rPr>
          <w:rFonts w:ascii="Calibri" w:eastAsia="Calibri" w:hAnsi="Calibri" w:cs="Times New Roman"/>
          <w:sz w:val="20"/>
          <w:szCs w:val="20"/>
          <w:lang w:eastAsia="en-US"/>
        </w:rPr>
      </w:pPr>
      <w:r w:rsidRPr="00F0054C">
        <w:rPr>
          <w:rFonts w:ascii="Calibri" w:eastAsia="Calibri" w:hAnsi="Calibri" w:cs="Times New Roman"/>
          <w:sz w:val="20"/>
          <w:szCs w:val="20"/>
          <w:lang w:eastAsia="en-US"/>
        </w:rPr>
        <w:t xml:space="preserve">Rees, H. C., Maddison, B. C., Middleditch, D. J., Patmore, J. R., &amp; Gough, K. C. (2014). The detection of aquatic animal species using environmental </w:t>
      </w:r>
      <w:bookmarkStart w:id="19" w:name="_GoBack"/>
      <w:bookmarkEnd w:id="19"/>
      <w:r w:rsidRPr="00F0054C">
        <w:rPr>
          <w:rFonts w:ascii="Calibri" w:eastAsia="Calibri" w:hAnsi="Calibri" w:cs="Times New Roman"/>
          <w:sz w:val="20"/>
          <w:szCs w:val="20"/>
          <w:lang w:eastAsia="en-US"/>
        </w:rPr>
        <w:t>DNA–a review of eDNA as a survey tool in ecology. </w:t>
      </w:r>
      <w:r w:rsidRPr="00F0054C">
        <w:rPr>
          <w:rFonts w:ascii="Calibri" w:eastAsia="Calibri" w:hAnsi="Calibri" w:cs="Times New Roman"/>
          <w:i/>
          <w:iCs/>
          <w:sz w:val="20"/>
          <w:szCs w:val="20"/>
          <w:lang w:eastAsia="en-US"/>
        </w:rPr>
        <w:t>Journal of Applied Ecology</w:t>
      </w:r>
      <w:r w:rsidRPr="00F0054C">
        <w:rPr>
          <w:rFonts w:ascii="Calibri" w:eastAsia="Calibri" w:hAnsi="Calibri" w:cs="Times New Roman"/>
          <w:sz w:val="20"/>
          <w:szCs w:val="20"/>
          <w:lang w:eastAsia="en-US"/>
        </w:rPr>
        <w:t>, </w:t>
      </w:r>
      <w:r w:rsidRPr="00F0054C">
        <w:rPr>
          <w:rFonts w:ascii="Calibri" w:eastAsia="Calibri" w:hAnsi="Calibri" w:cs="Times New Roman"/>
          <w:i/>
          <w:iCs/>
          <w:sz w:val="20"/>
          <w:szCs w:val="20"/>
          <w:lang w:eastAsia="en-US"/>
        </w:rPr>
        <w:t>51</w:t>
      </w:r>
      <w:r w:rsidRPr="00F0054C">
        <w:rPr>
          <w:rFonts w:ascii="Calibri" w:eastAsia="Calibri" w:hAnsi="Calibri" w:cs="Times New Roman"/>
          <w:sz w:val="20"/>
          <w:szCs w:val="20"/>
          <w:lang w:eastAsia="en-US"/>
        </w:rPr>
        <w:t>(5), 1450-1459.</w:t>
      </w:r>
    </w:p>
    <w:p w14:paraId="12B96920" w14:textId="77777777" w:rsidR="002125A6" w:rsidRPr="00F0054C" w:rsidRDefault="002125A6" w:rsidP="00322FE9">
      <w:pPr>
        <w:widowControl/>
        <w:spacing w:line="240" w:lineRule="auto"/>
        <w:ind w:left="720" w:hanging="720"/>
        <w:jc w:val="left"/>
        <w:rPr>
          <w:rFonts w:ascii="Calibri" w:eastAsia="Calibri" w:hAnsi="Calibri" w:cs="Times New Roman"/>
          <w:sz w:val="20"/>
          <w:szCs w:val="20"/>
          <w:lang w:eastAsia="en-US"/>
        </w:rPr>
      </w:pPr>
      <w:r w:rsidRPr="00F0054C">
        <w:rPr>
          <w:rFonts w:ascii="Calibri" w:eastAsia="Calibri" w:hAnsi="Calibri" w:cs="Times New Roman"/>
          <w:sz w:val="20"/>
          <w:szCs w:val="20"/>
          <w:lang w:eastAsia="en-US"/>
        </w:rPr>
        <w:t xml:space="preserve">Smith, A. S., &amp; Alexander Jr, J. E. (2008). Potential effects of the freshwater jellyfish </w:t>
      </w:r>
      <w:r w:rsidRPr="00F0054C">
        <w:rPr>
          <w:rFonts w:ascii="Calibri" w:eastAsia="Calibri" w:hAnsi="Calibri" w:cs="Times New Roman"/>
          <w:i/>
          <w:sz w:val="20"/>
          <w:szCs w:val="20"/>
          <w:lang w:eastAsia="en-US"/>
        </w:rPr>
        <w:t>Craspedacusta sowerbii</w:t>
      </w:r>
      <w:r w:rsidRPr="00F0054C">
        <w:rPr>
          <w:rFonts w:ascii="Calibri" w:eastAsia="Calibri" w:hAnsi="Calibri" w:cs="Times New Roman"/>
          <w:sz w:val="20"/>
          <w:szCs w:val="20"/>
          <w:lang w:eastAsia="en-US"/>
        </w:rPr>
        <w:t xml:space="preserve"> on zooplankton community abundance. </w:t>
      </w:r>
      <w:r w:rsidRPr="00F0054C">
        <w:rPr>
          <w:rFonts w:ascii="Calibri" w:eastAsia="Calibri" w:hAnsi="Calibri" w:cs="Times New Roman"/>
          <w:i/>
          <w:iCs/>
          <w:sz w:val="20"/>
          <w:szCs w:val="20"/>
          <w:lang w:eastAsia="en-US"/>
        </w:rPr>
        <w:t>Journal of Plankton Research</w:t>
      </w:r>
      <w:r w:rsidRPr="00F0054C">
        <w:rPr>
          <w:rFonts w:ascii="Calibri" w:eastAsia="Calibri" w:hAnsi="Calibri" w:cs="Times New Roman"/>
          <w:sz w:val="20"/>
          <w:szCs w:val="20"/>
          <w:lang w:eastAsia="en-US"/>
        </w:rPr>
        <w:t>, </w:t>
      </w:r>
      <w:r w:rsidRPr="00F0054C">
        <w:rPr>
          <w:rFonts w:ascii="Calibri" w:eastAsia="Calibri" w:hAnsi="Calibri" w:cs="Times New Roman"/>
          <w:i/>
          <w:iCs/>
          <w:sz w:val="20"/>
          <w:szCs w:val="20"/>
          <w:lang w:eastAsia="en-US"/>
        </w:rPr>
        <w:t>30</w:t>
      </w:r>
      <w:r w:rsidRPr="00F0054C">
        <w:rPr>
          <w:rFonts w:ascii="Calibri" w:eastAsia="Calibri" w:hAnsi="Calibri" w:cs="Times New Roman"/>
          <w:sz w:val="20"/>
          <w:szCs w:val="20"/>
          <w:lang w:eastAsia="en-US"/>
        </w:rPr>
        <w:t>(12), 1323-1327.</w:t>
      </w:r>
    </w:p>
    <w:p w14:paraId="6E02A60C" w14:textId="77777777" w:rsidR="002125A6" w:rsidRPr="00F0054C" w:rsidRDefault="002125A6" w:rsidP="00322FE9">
      <w:pPr>
        <w:widowControl/>
        <w:spacing w:line="240" w:lineRule="auto"/>
        <w:ind w:left="720" w:hanging="720"/>
        <w:jc w:val="left"/>
        <w:rPr>
          <w:rFonts w:ascii="Calibri" w:eastAsia="Calibri" w:hAnsi="Calibri" w:cs="Times New Roman"/>
          <w:sz w:val="20"/>
          <w:szCs w:val="20"/>
          <w:lang w:eastAsia="en-US"/>
        </w:rPr>
      </w:pPr>
      <w:proofErr w:type="spellStart"/>
      <w:r w:rsidRPr="00F0054C">
        <w:rPr>
          <w:rFonts w:ascii="Calibri" w:eastAsia="Calibri" w:hAnsi="Calibri" w:cs="Times New Roman"/>
          <w:sz w:val="20"/>
          <w:szCs w:val="20"/>
          <w:lang w:eastAsia="en-US"/>
        </w:rPr>
        <w:t>Spadinger</w:t>
      </w:r>
      <w:proofErr w:type="spellEnd"/>
      <w:r w:rsidRPr="00F0054C">
        <w:rPr>
          <w:rFonts w:ascii="Calibri" w:eastAsia="Calibri" w:hAnsi="Calibri" w:cs="Times New Roman"/>
          <w:sz w:val="20"/>
          <w:szCs w:val="20"/>
          <w:lang w:eastAsia="en-US"/>
        </w:rPr>
        <w:t xml:space="preserve">, R., &amp; Maier, G. (1999). Prey selection and diel feeding of the freshwater jellyfish, </w:t>
      </w:r>
      <w:proofErr w:type="spellStart"/>
      <w:r w:rsidRPr="00F0054C">
        <w:rPr>
          <w:rFonts w:ascii="Calibri" w:eastAsia="Calibri" w:hAnsi="Calibri" w:cs="Times New Roman"/>
          <w:i/>
          <w:sz w:val="20"/>
          <w:szCs w:val="20"/>
          <w:lang w:eastAsia="en-US"/>
        </w:rPr>
        <w:t>Craspedacusta</w:t>
      </w:r>
      <w:proofErr w:type="spellEnd"/>
      <w:r w:rsidRPr="00F0054C">
        <w:rPr>
          <w:rFonts w:ascii="Calibri" w:eastAsia="Calibri" w:hAnsi="Calibri" w:cs="Times New Roman"/>
          <w:i/>
          <w:sz w:val="20"/>
          <w:szCs w:val="20"/>
          <w:lang w:eastAsia="en-US"/>
        </w:rPr>
        <w:t xml:space="preserve"> </w:t>
      </w:r>
      <w:proofErr w:type="spellStart"/>
      <w:r w:rsidRPr="00F0054C">
        <w:rPr>
          <w:rFonts w:ascii="Calibri" w:eastAsia="Calibri" w:hAnsi="Calibri" w:cs="Times New Roman"/>
          <w:i/>
          <w:sz w:val="20"/>
          <w:szCs w:val="20"/>
          <w:lang w:eastAsia="en-US"/>
        </w:rPr>
        <w:t>sowerbyi</w:t>
      </w:r>
      <w:proofErr w:type="spellEnd"/>
      <w:r w:rsidRPr="00F0054C">
        <w:rPr>
          <w:rFonts w:ascii="Calibri" w:eastAsia="Calibri" w:hAnsi="Calibri" w:cs="Times New Roman"/>
          <w:sz w:val="20"/>
          <w:szCs w:val="20"/>
          <w:lang w:eastAsia="en-US"/>
        </w:rPr>
        <w:t>. </w:t>
      </w:r>
      <w:r w:rsidRPr="00F0054C">
        <w:rPr>
          <w:rFonts w:ascii="Calibri" w:eastAsia="Calibri" w:hAnsi="Calibri" w:cs="Times New Roman"/>
          <w:i/>
          <w:iCs/>
          <w:sz w:val="20"/>
          <w:szCs w:val="20"/>
          <w:lang w:eastAsia="en-US"/>
        </w:rPr>
        <w:t>Freshwater Biology</w:t>
      </w:r>
      <w:r w:rsidRPr="00F0054C">
        <w:rPr>
          <w:rFonts w:ascii="Calibri" w:eastAsia="Calibri" w:hAnsi="Calibri" w:cs="Times New Roman"/>
          <w:sz w:val="20"/>
          <w:szCs w:val="20"/>
          <w:lang w:eastAsia="en-US"/>
        </w:rPr>
        <w:t>, </w:t>
      </w:r>
      <w:r w:rsidRPr="00F0054C">
        <w:rPr>
          <w:rFonts w:ascii="Calibri" w:eastAsia="Calibri" w:hAnsi="Calibri" w:cs="Times New Roman"/>
          <w:i/>
          <w:iCs/>
          <w:sz w:val="20"/>
          <w:szCs w:val="20"/>
          <w:lang w:eastAsia="en-US"/>
        </w:rPr>
        <w:t>41</w:t>
      </w:r>
      <w:r w:rsidRPr="00F0054C">
        <w:rPr>
          <w:rFonts w:ascii="Calibri" w:eastAsia="Calibri" w:hAnsi="Calibri" w:cs="Times New Roman"/>
          <w:sz w:val="20"/>
          <w:szCs w:val="20"/>
          <w:lang w:eastAsia="en-US"/>
        </w:rPr>
        <w:t>(3), 567-573.</w:t>
      </w:r>
    </w:p>
    <w:sectPr w:rsidR="002125A6" w:rsidRPr="00F0054C" w:rsidSect="00BF73B5">
      <w:pgSz w:w="11906" w:h="16838"/>
      <w:pgMar w:top="1440" w:right="1800" w:bottom="1440" w:left="180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0C5F"/>
    <w:rsid w:val="00003A34"/>
    <w:rsid w:val="00037921"/>
    <w:rsid w:val="000E36BF"/>
    <w:rsid w:val="0010431F"/>
    <w:rsid w:val="0011576E"/>
    <w:rsid w:val="00144C32"/>
    <w:rsid w:val="001623F8"/>
    <w:rsid w:val="0018030D"/>
    <w:rsid w:val="0018236D"/>
    <w:rsid w:val="002125A6"/>
    <w:rsid w:val="00221EF3"/>
    <w:rsid w:val="00246336"/>
    <w:rsid w:val="00282EA4"/>
    <w:rsid w:val="002D1DF6"/>
    <w:rsid w:val="002D32CF"/>
    <w:rsid w:val="00300C5F"/>
    <w:rsid w:val="00322FE9"/>
    <w:rsid w:val="003353FA"/>
    <w:rsid w:val="00345F87"/>
    <w:rsid w:val="00360679"/>
    <w:rsid w:val="00360774"/>
    <w:rsid w:val="0036759E"/>
    <w:rsid w:val="00371D17"/>
    <w:rsid w:val="00374A98"/>
    <w:rsid w:val="0040548A"/>
    <w:rsid w:val="00443770"/>
    <w:rsid w:val="004453C9"/>
    <w:rsid w:val="00481070"/>
    <w:rsid w:val="004A34A6"/>
    <w:rsid w:val="004C4925"/>
    <w:rsid w:val="005243AF"/>
    <w:rsid w:val="00530E03"/>
    <w:rsid w:val="0055168E"/>
    <w:rsid w:val="005539A7"/>
    <w:rsid w:val="00554BFE"/>
    <w:rsid w:val="00584911"/>
    <w:rsid w:val="006108EB"/>
    <w:rsid w:val="00634289"/>
    <w:rsid w:val="006B0749"/>
    <w:rsid w:val="00786ACE"/>
    <w:rsid w:val="007E0285"/>
    <w:rsid w:val="007F2699"/>
    <w:rsid w:val="0083638A"/>
    <w:rsid w:val="00915C7C"/>
    <w:rsid w:val="009450CF"/>
    <w:rsid w:val="00955DF8"/>
    <w:rsid w:val="009816FD"/>
    <w:rsid w:val="009C447D"/>
    <w:rsid w:val="009D10B4"/>
    <w:rsid w:val="009F2907"/>
    <w:rsid w:val="009F7B58"/>
    <w:rsid w:val="00A21903"/>
    <w:rsid w:val="00A24DB1"/>
    <w:rsid w:val="00A25859"/>
    <w:rsid w:val="00A41CBE"/>
    <w:rsid w:val="00A7742A"/>
    <w:rsid w:val="00AD4FB0"/>
    <w:rsid w:val="00AD62D0"/>
    <w:rsid w:val="00AD64B2"/>
    <w:rsid w:val="00AF6A6F"/>
    <w:rsid w:val="00B03C96"/>
    <w:rsid w:val="00B303D5"/>
    <w:rsid w:val="00B5547D"/>
    <w:rsid w:val="00B678D2"/>
    <w:rsid w:val="00BA1CAD"/>
    <w:rsid w:val="00BB5C9A"/>
    <w:rsid w:val="00BC13B2"/>
    <w:rsid w:val="00BF73B5"/>
    <w:rsid w:val="00C5067D"/>
    <w:rsid w:val="00C70952"/>
    <w:rsid w:val="00D55A21"/>
    <w:rsid w:val="00D91A8A"/>
    <w:rsid w:val="00D93AA8"/>
    <w:rsid w:val="00DA61DB"/>
    <w:rsid w:val="00E07C61"/>
    <w:rsid w:val="00E21F2F"/>
    <w:rsid w:val="00E43C26"/>
    <w:rsid w:val="00E711F9"/>
    <w:rsid w:val="00EA6165"/>
    <w:rsid w:val="00F0054C"/>
    <w:rsid w:val="00F5228C"/>
    <w:rsid w:val="00F71998"/>
    <w:rsid w:val="00F81724"/>
    <w:rsid w:val="00FB14B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3EC9BF"/>
  <w15:chartTrackingRefBased/>
  <w15:docId w15:val="{A2FEF952-136D-407C-9C63-16795EBBF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50CF"/>
    <w:pPr>
      <w:widowControl w:val="0"/>
      <w:jc w:val="both"/>
    </w:pPr>
  </w:style>
  <w:style w:type="paragraph" w:styleId="Heading1">
    <w:name w:val="heading 1"/>
    <w:basedOn w:val="Normal"/>
    <w:next w:val="Normal"/>
    <w:link w:val="Heading1Char"/>
    <w:uiPriority w:val="9"/>
    <w:qFormat/>
    <w:rsid w:val="00371D17"/>
    <w:pPr>
      <w:keepNext/>
      <w:keepLines/>
      <w:widowControl/>
      <w:spacing w:before="240" w:after="0"/>
      <w:jc w:val="left"/>
      <w:outlineLvl w:val="0"/>
    </w:pPr>
    <w:rPr>
      <w:rFonts w:asciiTheme="majorHAnsi" w:eastAsiaTheme="majorEastAsia" w:hAnsiTheme="majorHAnsi" w:cstheme="majorBidi"/>
      <w:color w:val="365F91" w:themeColor="accent1" w:themeShade="BF"/>
      <w:sz w:val="32"/>
      <w:szCs w:val="32"/>
      <w:lang w:eastAsia="en-US"/>
    </w:rPr>
  </w:style>
  <w:style w:type="paragraph" w:styleId="Heading2">
    <w:name w:val="heading 2"/>
    <w:basedOn w:val="Normal"/>
    <w:next w:val="Normal"/>
    <w:link w:val="Heading2Char"/>
    <w:uiPriority w:val="9"/>
    <w:unhideWhenUsed/>
    <w:qFormat/>
    <w:rsid w:val="00F71998"/>
    <w:pPr>
      <w:keepNext/>
      <w:keepLines/>
      <w:widowControl/>
      <w:spacing w:before="40" w:after="0"/>
      <w:jc w:val="left"/>
      <w:outlineLvl w:val="1"/>
    </w:pPr>
    <w:rPr>
      <w:rFonts w:asciiTheme="majorHAnsi" w:eastAsiaTheme="majorEastAsia" w:hAnsiTheme="majorHAnsi" w:cstheme="majorBidi"/>
      <w:color w:val="365F91" w:themeColor="accent1" w:themeShade="BF"/>
      <w:sz w:val="26"/>
      <w:szCs w:val="26"/>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1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1998"/>
    <w:rPr>
      <w:rFonts w:ascii="Segoe UI" w:hAnsi="Segoe UI" w:cs="Segoe UI"/>
      <w:sz w:val="18"/>
      <w:szCs w:val="18"/>
    </w:rPr>
  </w:style>
  <w:style w:type="character" w:styleId="CommentReference">
    <w:name w:val="annotation reference"/>
    <w:basedOn w:val="DefaultParagraphFont"/>
    <w:uiPriority w:val="99"/>
    <w:semiHidden/>
    <w:unhideWhenUsed/>
    <w:rsid w:val="00F71998"/>
    <w:rPr>
      <w:sz w:val="16"/>
      <w:szCs w:val="16"/>
    </w:rPr>
  </w:style>
  <w:style w:type="paragraph" w:styleId="CommentText">
    <w:name w:val="annotation text"/>
    <w:basedOn w:val="Normal"/>
    <w:link w:val="CommentTextChar"/>
    <w:uiPriority w:val="99"/>
    <w:semiHidden/>
    <w:unhideWhenUsed/>
    <w:rsid w:val="00F71998"/>
    <w:pPr>
      <w:widowControl/>
      <w:spacing w:line="240" w:lineRule="auto"/>
      <w:jc w:val="left"/>
    </w:pPr>
    <w:rPr>
      <w:rFonts w:eastAsiaTheme="minorHAnsi"/>
      <w:sz w:val="20"/>
      <w:szCs w:val="20"/>
      <w:lang w:eastAsia="en-US"/>
    </w:rPr>
  </w:style>
  <w:style w:type="character" w:customStyle="1" w:styleId="CommentTextChar">
    <w:name w:val="Comment Text Char"/>
    <w:basedOn w:val="DefaultParagraphFont"/>
    <w:link w:val="CommentText"/>
    <w:uiPriority w:val="99"/>
    <w:semiHidden/>
    <w:rsid w:val="00F71998"/>
    <w:rPr>
      <w:rFonts w:eastAsiaTheme="minorHAnsi"/>
      <w:sz w:val="20"/>
      <w:szCs w:val="20"/>
      <w:lang w:eastAsia="en-US"/>
    </w:rPr>
  </w:style>
  <w:style w:type="character" w:customStyle="1" w:styleId="Heading2Char">
    <w:name w:val="Heading 2 Char"/>
    <w:basedOn w:val="DefaultParagraphFont"/>
    <w:link w:val="Heading2"/>
    <w:uiPriority w:val="9"/>
    <w:rsid w:val="00F71998"/>
    <w:rPr>
      <w:rFonts w:asciiTheme="majorHAnsi" w:eastAsiaTheme="majorEastAsia" w:hAnsiTheme="majorHAnsi" w:cstheme="majorBidi"/>
      <w:color w:val="365F91" w:themeColor="accent1" w:themeShade="BF"/>
      <w:sz w:val="26"/>
      <w:szCs w:val="26"/>
      <w:lang w:eastAsia="en-US"/>
    </w:rPr>
  </w:style>
  <w:style w:type="character" w:customStyle="1" w:styleId="Heading1Char">
    <w:name w:val="Heading 1 Char"/>
    <w:basedOn w:val="DefaultParagraphFont"/>
    <w:link w:val="Heading1"/>
    <w:uiPriority w:val="9"/>
    <w:rsid w:val="00371D17"/>
    <w:rPr>
      <w:rFonts w:asciiTheme="majorHAnsi" w:eastAsiaTheme="majorEastAsia" w:hAnsiTheme="majorHAnsi" w:cstheme="majorBidi"/>
      <w:color w:val="365F91" w:themeColor="accent1" w:themeShade="BF"/>
      <w:sz w:val="32"/>
      <w:szCs w:val="32"/>
      <w:lang w:eastAsia="en-US"/>
    </w:rPr>
  </w:style>
  <w:style w:type="character" w:styleId="Strong">
    <w:name w:val="Strong"/>
    <w:basedOn w:val="DefaultParagraphFont"/>
    <w:uiPriority w:val="22"/>
    <w:qFormat/>
    <w:rsid w:val="00371D17"/>
    <w:rPr>
      <w:b/>
      <w:bCs/>
    </w:rPr>
  </w:style>
  <w:style w:type="paragraph" w:styleId="Caption">
    <w:name w:val="caption"/>
    <w:basedOn w:val="Normal"/>
    <w:next w:val="Normal"/>
    <w:uiPriority w:val="35"/>
    <w:unhideWhenUsed/>
    <w:qFormat/>
    <w:rsid w:val="00634289"/>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8388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chart" Target="charts/chart1.xml"/><Relationship Id="rId4"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976995259580956E-2"/>
          <c:y val="0.11959597481536303"/>
          <c:w val="0.68192389146637178"/>
          <c:h val="0.74935446153342977"/>
        </c:manualLayout>
      </c:layout>
      <c:scatterChart>
        <c:scatterStyle val="lineMarker"/>
        <c:varyColors val="0"/>
        <c:ser>
          <c:idx val="4"/>
          <c:order val="0"/>
          <c:tx>
            <c:v>Small Plankton (G)</c:v>
          </c:tx>
          <c:spPr>
            <a:ln w="25400" cap="rnd">
              <a:noFill/>
              <a:round/>
            </a:ln>
            <a:effectLst/>
          </c:spPr>
          <c:marker>
            <c:symbol val="circle"/>
            <c:size val="7"/>
            <c:spPr>
              <a:solidFill>
                <a:srgbClr val="0070C0"/>
              </a:solidFill>
              <a:ln w="9525">
                <a:solidFill>
                  <a:schemeClr val="accent5"/>
                </a:solidFill>
              </a:ln>
              <a:effectLst/>
            </c:spPr>
          </c:marker>
          <c:xVal>
            <c:numRef>
              <c:f>'run 1'!$H$10:$H$12</c:f>
              <c:numCache>
                <c:formatCode>0.00</c:formatCode>
                <c:ptCount val="3"/>
                <c:pt idx="0">
                  <c:v>-31.003703117319819</c:v>
                </c:pt>
                <c:pt idx="1">
                  <c:v>-31.104284970661269</c:v>
                </c:pt>
                <c:pt idx="2">
                  <c:v>-31.188611170937431</c:v>
                </c:pt>
              </c:numCache>
            </c:numRef>
          </c:xVal>
          <c:yVal>
            <c:numRef>
              <c:f>'run 1'!$E$10:$E$12</c:f>
              <c:numCache>
                <c:formatCode>0.00</c:formatCode>
                <c:ptCount val="3"/>
                <c:pt idx="0">
                  <c:v>2.0776988344677529</c:v>
                </c:pt>
                <c:pt idx="1">
                  <c:v>2.1638675554966542</c:v>
                </c:pt>
                <c:pt idx="2">
                  <c:v>2.1839735904033977</c:v>
                </c:pt>
              </c:numCache>
            </c:numRef>
          </c:yVal>
          <c:smooth val="0"/>
          <c:extLst>
            <c:ext xmlns:c16="http://schemas.microsoft.com/office/drawing/2014/chart" uri="{C3380CC4-5D6E-409C-BE32-E72D297353CC}">
              <c16:uniqueId val="{00000000-98DB-4101-9FDB-207AE5072435}"/>
            </c:ext>
          </c:extLst>
        </c:ser>
        <c:ser>
          <c:idx val="1"/>
          <c:order val="1"/>
          <c:tx>
            <c:v>Bosmina (G)</c:v>
          </c:tx>
          <c:spPr>
            <a:ln w="25400" cap="rnd">
              <a:noFill/>
              <a:round/>
            </a:ln>
            <a:effectLst/>
          </c:spPr>
          <c:marker>
            <c:symbol val="x"/>
            <c:size val="8"/>
            <c:spPr>
              <a:noFill/>
              <a:ln w="25400">
                <a:solidFill>
                  <a:srgbClr val="0070C0"/>
                </a:solidFill>
              </a:ln>
              <a:effectLst/>
            </c:spPr>
          </c:marker>
          <c:xVal>
            <c:numRef>
              <c:f>'run 1'!$H$13</c:f>
              <c:numCache>
                <c:formatCode>0.00</c:formatCode>
                <c:ptCount val="1"/>
                <c:pt idx="0">
                  <c:v>-30.719229188677346</c:v>
                </c:pt>
              </c:numCache>
            </c:numRef>
          </c:xVal>
          <c:yVal>
            <c:numRef>
              <c:f>'run 1'!$E$13</c:f>
              <c:numCache>
                <c:formatCode>0.00</c:formatCode>
                <c:ptCount val="1"/>
                <c:pt idx="0">
                  <c:v>4.1093657902825127</c:v>
                </c:pt>
              </c:numCache>
            </c:numRef>
          </c:yVal>
          <c:smooth val="0"/>
          <c:extLst>
            <c:ext xmlns:c16="http://schemas.microsoft.com/office/drawing/2014/chart" uri="{C3380CC4-5D6E-409C-BE32-E72D297353CC}">
              <c16:uniqueId val="{00000001-98DB-4101-9FDB-207AE5072435}"/>
            </c:ext>
          </c:extLst>
        </c:ser>
        <c:ser>
          <c:idx val="3"/>
          <c:order val="2"/>
          <c:tx>
            <c:v>Leptodora (G)</c:v>
          </c:tx>
          <c:spPr>
            <a:ln w="25400" cap="rnd">
              <a:noFill/>
              <a:round/>
            </a:ln>
            <a:effectLst/>
          </c:spPr>
          <c:marker>
            <c:symbol val="diamond"/>
            <c:size val="9"/>
            <c:spPr>
              <a:solidFill>
                <a:srgbClr val="0070C0"/>
              </a:solidFill>
              <a:ln w="9525">
                <a:noFill/>
              </a:ln>
              <a:effectLst/>
            </c:spPr>
          </c:marker>
          <c:xVal>
            <c:numRef>
              <c:f>'run 1'!$H$15</c:f>
              <c:numCache>
                <c:formatCode>0.00</c:formatCode>
                <c:ptCount val="1"/>
                <c:pt idx="0">
                  <c:v>-29.485831512348888</c:v>
                </c:pt>
              </c:numCache>
            </c:numRef>
          </c:xVal>
          <c:yVal>
            <c:numRef>
              <c:f>'run 1'!$E$15</c:f>
              <c:numCache>
                <c:formatCode>0.00</c:formatCode>
                <c:ptCount val="1"/>
                <c:pt idx="0">
                  <c:v>6.0452897227318259</c:v>
                </c:pt>
              </c:numCache>
            </c:numRef>
          </c:yVal>
          <c:smooth val="0"/>
          <c:extLst>
            <c:ext xmlns:c16="http://schemas.microsoft.com/office/drawing/2014/chart" uri="{C3380CC4-5D6E-409C-BE32-E72D297353CC}">
              <c16:uniqueId val="{00000002-98DB-4101-9FDB-207AE5072435}"/>
            </c:ext>
          </c:extLst>
        </c:ser>
        <c:ser>
          <c:idx val="2"/>
          <c:order val="3"/>
          <c:tx>
            <c:v>Fish Larvae (G)</c:v>
          </c:tx>
          <c:spPr>
            <a:ln w="25400" cap="rnd">
              <a:noFill/>
              <a:round/>
            </a:ln>
            <a:effectLst/>
          </c:spPr>
          <c:marker>
            <c:symbol val="triangle"/>
            <c:size val="8"/>
            <c:spPr>
              <a:solidFill>
                <a:srgbClr val="0070C0"/>
              </a:solidFill>
              <a:ln w="9525">
                <a:noFill/>
              </a:ln>
              <a:effectLst/>
            </c:spPr>
          </c:marker>
          <c:xVal>
            <c:numRef>
              <c:f>'run 1'!$H$14</c:f>
              <c:numCache>
                <c:formatCode>0.00</c:formatCode>
                <c:ptCount val="1"/>
                <c:pt idx="0">
                  <c:v>-27.729205002981587</c:v>
                </c:pt>
              </c:numCache>
            </c:numRef>
          </c:xVal>
          <c:yVal>
            <c:numRef>
              <c:f>'run 1'!$E$14</c:f>
              <c:numCache>
                <c:formatCode>0.00</c:formatCode>
                <c:ptCount val="1"/>
                <c:pt idx="0">
                  <c:v>5.4267897917910464</c:v>
                </c:pt>
              </c:numCache>
            </c:numRef>
          </c:yVal>
          <c:smooth val="0"/>
          <c:extLst>
            <c:ext xmlns:c16="http://schemas.microsoft.com/office/drawing/2014/chart" uri="{C3380CC4-5D6E-409C-BE32-E72D297353CC}">
              <c16:uniqueId val="{00000003-98DB-4101-9FDB-207AE5072435}"/>
            </c:ext>
          </c:extLst>
        </c:ser>
        <c:ser>
          <c:idx val="0"/>
          <c:order val="4"/>
          <c:tx>
            <c:v>Medusae (G)</c:v>
          </c:tx>
          <c:spPr>
            <a:ln w="25400" cap="rnd">
              <a:noFill/>
              <a:round/>
            </a:ln>
            <a:effectLst/>
          </c:spPr>
          <c:marker>
            <c:symbol val="square"/>
            <c:size val="7"/>
            <c:spPr>
              <a:solidFill>
                <a:srgbClr val="0070C0"/>
              </a:solidFill>
              <a:ln w="9525">
                <a:noFill/>
              </a:ln>
              <a:effectLst/>
            </c:spPr>
          </c:marker>
          <c:xVal>
            <c:numRef>
              <c:f>'run 1'!$H$16</c:f>
              <c:numCache>
                <c:formatCode>0.00</c:formatCode>
                <c:ptCount val="1"/>
                <c:pt idx="0">
                  <c:v>-28.025870671423032</c:v>
                </c:pt>
              </c:numCache>
            </c:numRef>
          </c:xVal>
          <c:yVal>
            <c:numRef>
              <c:f>'run 1'!$E$16</c:f>
              <c:numCache>
                <c:formatCode>0.00</c:formatCode>
                <c:ptCount val="1"/>
                <c:pt idx="0">
                  <c:v>5.735082327027782</c:v>
                </c:pt>
              </c:numCache>
            </c:numRef>
          </c:yVal>
          <c:smooth val="0"/>
          <c:extLst>
            <c:ext xmlns:c16="http://schemas.microsoft.com/office/drawing/2014/chart" uri="{C3380CC4-5D6E-409C-BE32-E72D297353CC}">
              <c16:uniqueId val="{00000004-98DB-4101-9FDB-207AE5072435}"/>
            </c:ext>
          </c:extLst>
        </c:ser>
        <c:ser>
          <c:idx val="5"/>
          <c:order val="5"/>
          <c:tx>
            <c:v>Small Plankton (S)</c:v>
          </c:tx>
          <c:spPr>
            <a:ln w="25400" cap="rnd">
              <a:noFill/>
              <a:round/>
            </a:ln>
            <a:effectLst/>
          </c:spPr>
          <c:marker>
            <c:symbol val="circle"/>
            <c:size val="7"/>
            <c:spPr>
              <a:solidFill>
                <a:srgbClr val="00B050"/>
              </a:solidFill>
              <a:ln w="9525">
                <a:noFill/>
              </a:ln>
              <a:effectLst/>
            </c:spPr>
          </c:marker>
          <c:xVal>
            <c:numRef>
              <c:f>'run 1'!$H$27:$H$28</c:f>
              <c:numCache>
                <c:formatCode>0.00</c:formatCode>
                <c:ptCount val="2"/>
                <c:pt idx="0">
                  <c:v>-31.078885512746762</c:v>
                </c:pt>
                <c:pt idx="1">
                  <c:v>-29.862759467800171</c:v>
                </c:pt>
              </c:numCache>
            </c:numRef>
          </c:xVal>
          <c:yVal>
            <c:numRef>
              <c:f>'run 1'!$E$27:$E$28</c:f>
              <c:numCache>
                <c:formatCode>0.00</c:formatCode>
                <c:ptCount val="2"/>
                <c:pt idx="0">
                  <c:v>3.1366166728895832</c:v>
                </c:pt>
                <c:pt idx="1">
                  <c:v>2.3974805325083417</c:v>
                </c:pt>
              </c:numCache>
            </c:numRef>
          </c:yVal>
          <c:smooth val="0"/>
          <c:extLst>
            <c:ext xmlns:c16="http://schemas.microsoft.com/office/drawing/2014/chart" uri="{C3380CC4-5D6E-409C-BE32-E72D297353CC}">
              <c16:uniqueId val="{00000005-98DB-4101-9FDB-207AE5072435}"/>
            </c:ext>
          </c:extLst>
        </c:ser>
        <c:ser>
          <c:idx val="12"/>
          <c:order val="6"/>
          <c:tx>
            <c:v>Daphnia (S)</c:v>
          </c:tx>
          <c:spPr>
            <a:ln w="25400" cap="rnd">
              <a:noFill/>
              <a:round/>
            </a:ln>
            <a:effectLst/>
          </c:spPr>
          <c:marker>
            <c:symbol val="circle"/>
            <c:size val="7"/>
            <c:spPr>
              <a:noFill/>
              <a:ln w="15875">
                <a:solidFill>
                  <a:srgbClr val="06BA1B"/>
                </a:solidFill>
              </a:ln>
              <a:effectLst/>
            </c:spPr>
          </c:marker>
          <c:xVal>
            <c:numRef>
              <c:f>'run 1'!$H$29</c:f>
              <c:numCache>
                <c:formatCode>0.00</c:formatCode>
                <c:ptCount val="1"/>
                <c:pt idx="0">
                  <c:v>-30.808635280536407</c:v>
                </c:pt>
              </c:numCache>
            </c:numRef>
          </c:xVal>
          <c:yVal>
            <c:numRef>
              <c:f>'run 1'!$E$29</c:f>
              <c:numCache>
                <c:formatCode>0.00</c:formatCode>
                <c:ptCount val="1"/>
                <c:pt idx="0">
                  <c:v>5.2142402799197569</c:v>
                </c:pt>
              </c:numCache>
            </c:numRef>
          </c:yVal>
          <c:smooth val="0"/>
          <c:extLst>
            <c:ext xmlns:c16="http://schemas.microsoft.com/office/drawing/2014/chart" uri="{C3380CC4-5D6E-409C-BE32-E72D297353CC}">
              <c16:uniqueId val="{00000006-98DB-4101-9FDB-207AE5072435}"/>
            </c:ext>
          </c:extLst>
        </c:ser>
        <c:ser>
          <c:idx val="6"/>
          <c:order val="7"/>
          <c:tx>
            <c:v>Leptodora (S)</c:v>
          </c:tx>
          <c:spPr>
            <a:ln w="25400" cap="rnd">
              <a:noFill/>
              <a:round/>
            </a:ln>
            <a:effectLst/>
          </c:spPr>
          <c:marker>
            <c:symbol val="diamond"/>
            <c:size val="9"/>
            <c:spPr>
              <a:solidFill>
                <a:srgbClr val="00B050"/>
              </a:solidFill>
              <a:ln w="9525">
                <a:noFill/>
              </a:ln>
              <a:effectLst/>
            </c:spPr>
          </c:marker>
          <c:xVal>
            <c:numRef>
              <c:f>'run 1'!$H$31</c:f>
              <c:numCache>
                <c:formatCode>0.00</c:formatCode>
                <c:ptCount val="1"/>
                <c:pt idx="0">
                  <c:v>-26.539494394266082</c:v>
                </c:pt>
              </c:numCache>
            </c:numRef>
          </c:xVal>
          <c:yVal>
            <c:numRef>
              <c:f>'run 1'!$E$31</c:f>
              <c:numCache>
                <c:formatCode>0.00</c:formatCode>
                <c:ptCount val="1"/>
                <c:pt idx="0">
                  <c:v>6.6963422816168583</c:v>
                </c:pt>
              </c:numCache>
            </c:numRef>
          </c:yVal>
          <c:smooth val="0"/>
          <c:extLst>
            <c:ext xmlns:c16="http://schemas.microsoft.com/office/drawing/2014/chart" uri="{C3380CC4-5D6E-409C-BE32-E72D297353CC}">
              <c16:uniqueId val="{00000007-98DB-4101-9FDB-207AE5072435}"/>
            </c:ext>
          </c:extLst>
        </c:ser>
        <c:ser>
          <c:idx val="7"/>
          <c:order val="8"/>
          <c:tx>
            <c:v>Medusae (S)</c:v>
          </c:tx>
          <c:spPr>
            <a:ln w="25400" cap="rnd">
              <a:noFill/>
              <a:round/>
            </a:ln>
            <a:effectLst/>
          </c:spPr>
          <c:marker>
            <c:symbol val="square"/>
            <c:size val="7"/>
            <c:spPr>
              <a:solidFill>
                <a:srgbClr val="00B050"/>
              </a:solidFill>
              <a:ln w="9525">
                <a:noFill/>
              </a:ln>
              <a:effectLst/>
            </c:spPr>
          </c:marker>
          <c:xVal>
            <c:numRef>
              <c:f>'run 1'!$H$32</c:f>
              <c:numCache>
                <c:formatCode>0.00</c:formatCode>
                <c:ptCount val="1"/>
                <c:pt idx="0">
                  <c:v>-29.086552033932836</c:v>
                </c:pt>
              </c:numCache>
            </c:numRef>
          </c:xVal>
          <c:yVal>
            <c:numRef>
              <c:f>'run 1'!$E$32</c:f>
              <c:numCache>
                <c:formatCode>0.00</c:formatCode>
                <c:ptCount val="1"/>
                <c:pt idx="0">
                  <c:v>5.2544523497332438</c:v>
                </c:pt>
              </c:numCache>
            </c:numRef>
          </c:yVal>
          <c:smooth val="0"/>
          <c:extLst>
            <c:ext xmlns:c16="http://schemas.microsoft.com/office/drawing/2014/chart" uri="{C3380CC4-5D6E-409C-BE32-E72D297353CC}">
              <c16:uniqueId val="{00000008-98DB-4101-9FDB-207AE5072435}"/>
            </c:ext>
          </c:extLst>
        </c:ser>
        <c:ser>
          <c:idx val="8"/>
          <c:order val="9"/>
          <c:tx>
            <c:v>Small Plankton (T)</c:v>
          </c:tx>
          <c:spPr>
            <a:ln w="25400" cap="rnd">
              <a:noFill/>
              <a:round/>
            </a:ln>
            <a:effectLst/>
          </c:spPr>
          <c:marker>
            <c:symbol val="circle"/>
            <c:size val="7"/>
            <c:spPr>
              <a:solidFill>
                <a:srgbClr val="FF0000"/>
              </a:solidFill>
              <a:ln w="9525">
                <a:noFill/>
              </a:ln>
              <a:effectLst/>
            </c:spPr>
          </c:marker>
          <c:xVal>
            <c:numRef>
              <c:f>'run 1'!$H$33:$H$34</c:f>
              <c:numCache>
                <c:formatCode>0.00</c:formatCode>
                <c:ptCount val="2"/>
                <c:pt idx="0">
                  <c:v>-35.58068543351397</c:v>
                </c:pt>
                <c:pt idx="1">
                  <c:v>-35.482135536805686</c:v>
                </c:pt>
              </c:numCache>
            </c:numRef>
          </c:xVal>
          <c:yVal>
            <c:numRef>
              <c:f>'run 1'!$E$33:$E$34</c:f>
              <c:numCache>
                <c:formatCode>0.00</c:formatCode>
                <c:ptCount val="2"/>
                <c:pt idx="0">
                  <c:v>5.2601969311351713</c:v>
                </c:pt>
                <c:pt idx="1">
                  <c:v>5.5570003035680529</c:v>
                </c:pt>
              </c:numCache>
            </c:numRef>
          </c:yVal>
          <c:smooth val="0"/>
          <c:extLst>
            <c:ext xmlns:c16="http://schemas.microsoft.com/office/drawing/2014/chart" uri="{C3380CC4-5D6E-409C-BE32-E72D297353CC}">
              <c16:uniqueId val="{00000009-98DB-4101-9FDB-207AE5072435}"/>
            </c:ext>
          </c:extLst>
        </c:ser>
        <c:ser>
          <c:idx val="9"/>
          <c:order val="10"/>
          <c:tx>
            <c:v>Copepods (T)</c:v>
          </c:tx>
          <c:spPr>
            <a:ln w="25400" cap="rnd">
              <a:noFill/>
              <a:round/>
            </a:ln>
            <a:effectLst/>
          </c:spPr>
          <c:marker>
            <c:symbol val="star"/>
            <c:size val="8"/>
            <c:spPr>
              <a:noFill/>
              <a:ln w="25400">
                <a:solidFill>
                  <a:srgbClr val="FF0000"/>
                </a:solidFill>
              </a:ln>
              <a:effectLst/>
            </c:spPr>
          </c:marker>
          <c:xVal>
            <c:numRef>
              <c:f>'run 1'!$H$36</c:f>
              <c:numCache>
                <c:formatCode>0.00</c:formatCode>
                <c:ptCount val="1"/>
                <c:pt idx="0">
                  <c:v>-34.197938944648207</c:v>
                </c:pt>
              </c:numCache>
            </c:numRef>
          </c:xVal>
          <c:yVal>
            <c:numRef>
              <c:f>'run 1'!$E$36</c:f>
              <c:numCache>
                <c:formatCode>0.00</c:formatCode>
                <c:ptCount val="1"/>
                <c:pt idx="0">
                  <c:v>6.5556000372696523</c:v>
                </c:pt>
              </c:numCache>
            </c:numRef>
          </c:yVal>
          <c:smooth val="0"/>
          <c:extLst>
            <c:ext xmlns:c16="http://schemas.microsoft.com/office/drawing/2014/chart" uri="{C3380CC4-5D6E-409C-BE32-E72D297353CC}">
              <c16:uniqueId val="{0000000A-98DB-4101-9FDB-207AE5072435}"/>
            </c:ext>
          </c:extLst>
        </c:ser>
        <c:ser>
          <c:idx val="13"/>
          <c:order val="11"/>
          <c:tx>
            <c:v>Daphnia (T)</c:v>
          </c:tx>
          <c:spPr>
            <a:ln w="25400" cap="rnd">
              <a:noFill/>
              <a:round/>
            </a:ln>
            <a:effectLst/>
          </c:spPr>
          <c:marker>
            <c:symbol val="circle"/>
            <c:size val="7"/>
            <c:spPr>
              <a:noFill/>
              <a:ln w="15875">
                <a:solidFill>
                  <a:srgbClr val="FF0000"/>
                </a:solidFill>
              </a:ln>
              <a:effectLst/>
            </c:spPr>
          </c:marker>
          <c:dPt>
            <c:idx val="0"/>
            <c:marker>
              <c:symbol val="circle"/>
              <c:size val="7"/>
              <c:spPr>
                <a:noFill/>
                <a:ln w="15875">
                  <a:solidFill>
                    <a:srgbClr val="FF0000"/>
                  </a:solidFill>
                </a:ln>
                <a:effectLst/>
              </c:spPr>
            </c:marker>
            <c:bubble3D val="0"/>
            <c:extLst>
              <c:ext xmlns:c16="http://schemas.microsoft.com/office/drawing/2014/chart" uri="{C3380CC4-5D6E-409C-BE32-E72D297353CC}">
                <c16:uniqueId val="{0000000B-98DB-4101-9FDB-207AE5072435}"/>
              </c:ext>
            </c:extLst>
          </c:dPt>
          <c:xVal>
            <c:numRef>
              <c:f>'run 1'!$H$37</c:f>
              <c:numCache>
                <c:formatCode>0.00</c:formatCode>
                <c:ptCount val="1"/>
                <c:pt idx="0">
                  <c:v>-33.12912975560576</c:v>
                </c:pt>
              </c:numCache>
            </c:numRef>
          </c:xVal>
          <c:yVal>
            <c:numRef>
              <c:f>'run 1'!$E$37</c:f>
              <c:numCache>
                <c:formatCode>0.00</c:formatCode>
                <c:ptCount val="1"/>
                <c:pt idx="0">
                  <c:v>4.7278657212232922</c:v>
                </c:pt>
              </c:numCache>
            </c:numRef>
          </c:yVal>
          <c:smooth val="0"/>
          <c:extLst>
            <c:ext xmlns:c16="http://schemas.microsoft.com/office/drawing/2014/chart" uri="{C3380CC4-5D6E-409C-BE32-E72D297353CC}">
              <c16:uniqueId val="{0000000C-98DB-4101-9FDB-207AE5072435}"/>
            </c:ext>
          </c:extLst>
        </c:ser>
        <c:ser>
          <c:idx val="10"/>
          <c:order val="12"/>
          <c:tx>
            <c:v>Fish Larvae (T)</c:v>
          </c:tx>
          <c:spPr>
            <a:ln w="25400" cap="rnd">
              <a:noFill/>
              <a:round/>
            </a:ln>
            <a:effectLst/>
          </c:spPr>
          <c:marker>
            <c:symbol val="triangle"/>
            <c:size val="8"/>
            <c:spPr>
              <a:solidFill>
                <a:srgbClr val="FF0000"/>
              </a:solidFill>
              <a:ln w="9525">
                <a:noFill/>
              </a:ln>
              <a:effectLst/>
            </c:spPr>
          </c:marker>
          <c:xVal>
            <c:numRef>
              <c:f>'run 1'!$H$38</c:f>
              <c:numCache>
                <c:formatCode>0.00</c:formatCode>
                <c:ptCount val="1"/>
                <c:pt idx="0">
                  <c:v>-29.954197516292396</c:v>
                </c:pt>
              </c:numCache>
            </c:numRef>
          </c:xVal>
          <c:yVal>
            <c:numRef>
              <c:f>'run 1'!$E$38</c:f>
              <c:numCache>
                <c:formatCode>0.00</c:formatCode>
                <c:ptCount val="1"/>
                <c:pt idx="0">
                  <c:v>7.9649373412090156</c:v>
                </c:pt>
              </c:numCache>
            </c:numRef>
          </c:yVal>
          <c:smooth val="0"/>
          <c:extLst>
            <c:ext xmlns:c16="http://schemas.microsoft.com/office/drawing/2014/chart" uri="{C3380CC4-5D6E-409C-BE32-E72D297353CC}">
              <c16:uniqueId val="{0000000D-98DB-4101-9FDB-207AE5072435}"/>
            </c:ext>
          </c:extLst>
        </c:ser>
        <c:ser>
          <c:idx val="11"/>
          <c:order val="13"/>
          <c:tx>
            <c:v>Medusae (T)</c:v>
          </c:tx>
          <c:spPr>
            <a:ln w="25400" cap="rnd">
              <a:noFill/>
              <a:round/>
            </a:ln>
            <a:effectLst/>
          </c:spPr>
          <c:marker>
            <c:symbol val="square"/>
            <c:size val="7"/>
            <c:spPr>
              <a:solidFill>
                <a:srgbClr val="FF0000"/>
              </a:solidFill>
              <a:ln w="9525">
                <a:noFill/>
              </a:ln>
              <a:effectLst/>
            </c:spPr>
          </c:marker>
          <c:xVal>
            <c:numRef>
              <c:f>'run 1'!$H$39</c:f>
              <c:numCache>
                <c:formatCode>0.00</c:formatCode>
                <c:ptCount val="1"/>
                <c:pt idx="0">
                  <c:v>-30.043603608151457</c:v>
                </c:pt>
              </c:numCache>
            </c:numRef>
          </c:xVal>
          <c:yVal>
            <c:numRef>
              <c:f>'run 1'!$E$39</c:f>
              <c:numCache>
                <c:formatCode>0.00</c:formatCode>
                <c:ptCount val="1"/>
                <c:pt idx="0">
                  <c:v>6.2932641532483311</c:v>
                </c:pt>
              </c:numCache>
            </c:numRef>
          </c:yVal>
          <c:smooth val="0"/>
          <c:extLst>
            <c:ext xmlns:c16="http://schemas.microsoft.com/office/drawing/2014/chart" uri="{C3380CC4-5D6E-409C-BE32-E72D297353CC}">
              <c16:uniqueId val="{0000000E-98DB-4101-9FDB-207AE5072435}"/>
            </c:ext>
          </c:extLst>
        </c:ser>
        <c:dLbls>
          <c:showLegendKey val="0"/>
          <c:showVal val="0"/>
          <c:showCatName val="0"/>
          <c:showSerName val="0"/>
          <c:showPercent val="0"/>
          <c:showBubbleSize val="0"/>
        </c:dLbls>
        <c:axId val="393205488"/>
        <c:axId val="393205816"/>
      </c:scatterChart>
      <c:valAx>
        <c:axId val="393205488"/>
        <c:scaling>
          <c:orientation val="minMax"/>
          <c:max val="-24"/>
          <c:min val="-36"/>
        </c:scaling>
        <c:delete val="0"/>
        <c:axPos val="b"/>
        <c:title>
          <c:tx>
            <c:rich>
              <a:bodyPr rot="0" spcFirstLastPara="1" vertOverflow="ellipsis" vert="horz" wrap="square" anchor="ctr" anchorCtr="1"/>
              <a:lstStyle/>
              <a:p>
                <a:pPr>
                  <a:defRPr sz="1100" b="1" i="0" u="none" strike="noStrike" kern="1200" baseline="0">
                    <a:solidFill>
                      <a:schemeClr val="tx1"/>
                    </a:solidFill>
                    <a:latin typeface="+mn-lt"/>
                    <a:ea typeface="+mn-ea"/>
                    <a:cs typeface="+mn-cs"/>
                  </a:defRPr>
                </a:pPr>
                <a:r>
                  <a:rPr lang="el-GR" sz="1100" b="1" i="0" u="none" strike="noStrike" baseline="0">
                    <a:solidFill>
                      <a:schemeClr val="tx1"/>
                    </a:solidFill>
                    <a:effectLst/>
                  </a:rPr>
                  <a:t>δ13</a:t>
                </a:r>
                <a:r>
                  <a:rPr lang="en-US" sz="1100" b="1" i="0" u="none" strike="noStrike" baseline="0">
                    <a:solidFill>
                      <a:schemeClr val="tx1"/>
                    </a:solidFill>
                    <a:effectLst/>
                  </a:rPr>
                  <a:t>C vs. VPDB</a:t>
                </a:r>
                <a:r>
                  <a:rPr lang="en-US" sz="1100" b="1" i="0" u="none" strike="noStrike" baseline="0">
                    <a:solidFill>
                      <a:schemeClr val="tx1"/>
                    </a:solidFill>
                  </a:rPr>
                  <a:t> </a:t>
                </a:r>
                <a:endParaRPr lang="en-US" sz="1100" b="1">
                  <a:solidFill>
                    <a:schemeClr val="tx1"/>
                  </a:solidFill>
                </a:endParaRP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title>
        <c:numFmt formatCode="0.00" sourceLinked="1"/>
        <c:majorTickMark val="cross"/>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93205816"/>
        <c:crosses val="autoZero"/>
        <c:crossBetween val="midCat"/>
      </c:valAx>
      <c:valAx>
        <c:axId val="393205816"/>
        <c:scaling>
          <c:orientation val="minMax"/>
        </c:scaling>
        <c:delete val="0"/>
        <c:axPos val="l"/>
        <c:title>
          <c:tx>
            <c:rich>
              <a:bodyPr rot="-5400000" spcFirstLastPara="1" vertOverflow="ellipsis" vert="horz" wrap="square" anchor="b" anchorCtr="1"/>
              <a:lstStyle/>
              <a:p>
                <a:pPr>
                  <a:defRPr sz="1100" b="1" i="0" u="none" strike="noStrike" kern="1200" baseline="0">
                    <a:solidFill>
                      <a:schemeClr val="tx1"/>
                    </a:solidFill>
                    <a:latin typeface="+mn-lt"/>
                    <a:ea typeface="+mn-ea"/>
                    <a:cs typeface="+mn-cs"/>
                  </a:defRPr>
                </a:pPr>
                <a:r>
                  <a:rPr lang="el-GR" sz="1100" b="1" i="0" u="none" strike="noStrike" baseline="0">
                    <a:solidFill>
                      <a:schemeClr val="tx1"/>
                    </a:solidFill>
                    <a:effectLst/>
                  </a:rPr>
                  <a:t>δ15</a:t>
                </a:r>
                <a:r>
                  <a:rPr lang="en-US" sz="1100" b="1" i="0" u="none" strike="noStrike" baseline="0">
                    <a:solidFill>
                      <a:schemeClr val="tx1"/>
                    </a:solidFill>
                    <a:effectLst/>
                  </a:rPr>
                  <a:t>N vs. At. Air</a:t>
                </a:r>
                <a:r>
                  <a:rPr lang="en-US" sz="1100" b="1" i="0" u="none" strike="noStrike" baseline="0">
                    <a:solidFill>
                      <a:schemeClr val="tx1"/>
                    </a:solidFill>
                  </a:rPr>
                  <a:t> </a:t>
                </a:r>
                <a:endParaRPr lang="en-US" sz="1100" b="1">
                  <a:solidFill>
                    <a:schemeClr val="tx1"/>
                  </a:solidFill>
                </a:endParaRPr>
              </a:p>
            </c:rich>
          </c:tx>
          <c:layout>
            <c:manualLayout>
              <c:xMode val="edge"/>
              <c:yMode val="edge"/>
              <c:x val="3.441031317811704E-2"/>
              <c:y val="0.34292790492998076"/>
            </c:manualLayout>
          </c:layout>
          <c:overlay val="0"/>
          <c:spPr>
            <a:noFill/>
            <a:ln>
              <a:noFill/>
            </a:ln>
            <a:effectLst/>
          </c:spPr>
          <c:txPr>
            <a:bodyPr rot="-5400000" spcFirstLastPara="1" vertOverflow="ellipsis" vert="horz" wrap="square" anchor="b" anchorCtr="1"/>
            <a:lstStyle/>
            <a:p>
              <a:pPr>
                <a:defRPr sz="1100" b="1" i="0" u="none" strike="noStrike" kern="1200" baseline="0">
                  <a:solidFill>
                    <a:schemeClr val="tx1"/>
                  </a:solidFill>
                  <a:latin typeface="+mn-lt"/>
                  <a:ea typeface="+mn-ea"/>
                  <a:cs typeface="+mn-cs"/>
                </a:defRPr>
              </a:pPr>
              <a:endParaRPr lang="en-US"/>
            </a:p>
          </c:txPr>
        </c:title>
        <c:numFmt formatCode="0.00" sourceLinked="1"/>
        <c:majorTickMark val="cross"/>
        <c:minorTickMark val="none"/>
        <c:tickLblPos val="high"/>
        <c:spPr>
          <a:noFill/>
          <a:ln w="9525" cap="flat" cmpd="sng" algn="ctr">
            <a:solidFill>
              <a:schemeClr val="tx1"/>
            </a:solidFill>
            <a:round/>
          </a:ln>
          <a:effectLst/>
        </c:spPr>
        <c:txPr>
          <a:bodyPr rot="-60000000" spcFirstLastPara="1" vertOverflow="ellipsis" vert="horz" wrap="square" anchor="ctr" anchorCtr="0"/>
          <a:lstStyle/>
          <a:p>
            <a:pPr>
              <a:defRPr sz="900" b="0" i="0" u="none" strike="noStrike" kern="1200" baseline="0">
                <a:solidFill>
                  <a:schemeClr val="tx1"/>
                </a:solidFill>
                <a:latin typeface="+mn-lt"/>
                <a:ea typeface="+mn-ea"/>
                <a:cs typeface="+mn-cs"/>
              </a:defRPr>
            </a:pPr>
            <a:endParaRPr lang="en-US"/>
          </a:p>
        </c:txPr>
        <c:crossAx val="393205488"/>
        <c:crosses val="autoZero"/>
        <c:crossBetween val="midCat"/>
      </c:valAx>
      <c:spPr>
        <a:noFill/>
        <a:ln>
          <a:noFill/>
        </a:ln>
        <a:effectLst/>
      </c:spPr>
    </c:plotArea>
    <c:legend>
      <c:legendPos val="r"/>
      <c:overlay val="0"/>
      <c:spPr>
        <a:noFill/>
        <a:ln>
          <a:solidFill>
            <a:sysClr val="windowText" lastClr="000000"/>
          </a:solid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89</TotalTime>
  <Pages>6</Pages>
  <Words>2410</Words>
  <Characters>13741</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msi</dc:creator>
  <cp:keywords/>
  <dc:description/>
  <cp:lastModifiedBy>Jacob Moore</cp:lastModifiedBy>
  <cp:revision>7</cp:revision>
  <dcterms:created xsi:type="dcterms:W3CDTF">2020-01-10T20:54:00Z</dcterms:created>
  <dcterms:modified xsi:type="dcterms:W3CDTF">2020-01-10T22:22:00Z</dcterms:modified>
</cp:coreProperties>
</file>