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E0D28" w14:textId="77777777" w:rsidR="00145E9C" w:rsidRPr="00145E9C" w:rsidRDefault="00145E9C" w:rsidP="00145E9C">
      <w:pPr>
        <w:rPr>
          <w:rFonts w:ascii="Times New Roman" w:hAnsi="Times New Roman" w:cs="Times New Roman"/>
          <w:b/>
          <w:iCs/>
        </w:rPr>
      </w:pPr>
      <w:bookmarkStart w:id="0" w:name="_GoBack"/>
      <w:bookmarkEnd w:id="0"/>
      <w:r>
        <w:rPr>
          <w:rFonts w:ascii="Times New Roman" w:hAnsi="Times New Roman" w:cs="Times New Roman"/>
          <w:b/>
          <w:iCs/>
        </w:rPr>
        <w:t xml:space="preserve">Variations in </w:t>
      </w:r>
      <w:r>
        <w:rPr>
          <w:rFonts w:ascii="Times New Roman" w:hAnsi="Times New Roman" w:cs="Times New Roman"/>
          <w:b/>
          <w:i/>
          <w:iCs/>
        </w:rPr>
        <w:t xml:space="preserve">Borrelia burgdorferi </w:t>
      </w:r>
      <w:r>
        <w:rPr>
          <w:rFonts w:ascii="Times New Roman" w:hAnsi="Times New Roman" w:cs="Times New Roman"/>
          <w:b/>
          <w:iCs/>
        </w:rPr>
        <w:t>Prevalence and Risk between Two Distinct Forest Patches in Close Proximity</w:t>
      </w:r>
    </w:p>
    <w:p w14:paraId="0E5B7E7E" w14:textId="77777777" w:rsidR="00145E9C" w:rsidRDefault="00145E9C" w:rsidP="00145E9C">
      <w:pPr>
        <w:rPr>
          <w:rFonts w:ascii="Times New Roman" w:hAnsi="Times New Roman" w:cs="Times New Roman"/>
        </w:rPr>
      </w:pPr>
      <w:r>
        <w:rPr>
          <w:rFonts w:ascii="Times New Roman" w:hAnsi="Times New Roman" w:cs="Times New Roman"/>
        </w:rPr>
        <w:t>Miranda Nelson</w:t>
      </w:r>
    </w:p>
    <w:p w14:paraId="67105BC6" w14:textId="77777777" w:rsidR="00145E9C" w:rsidRDefault="00145E9C" w:rsidP="00145E9C">
      <w:pPr>
        <w:rPr>
          <w:rFonts w:ascii="Times New Roman" w:hAnsi="Times New Roman" w:cs="Times New Roman"/>
        </w:rPr>
      </w:pPr>
      <w:r>
        <w:rPr>
          <w:rFonts w:ascii="Times New Roman" w:hAnsi="Times New Roman" w:cs="Times New Roman"/>
        </w:rPr>
        <w:t>SUNY College of Environmental Science and Forestry</w:t>
      </w:r>
    </w:p>
    <w:p w14:paraId="799D9703" w14:textId="77777777" w:rsidR="00CD0E58" w:rsidRDefault="00145E9C">
      <w:pPr>
        <w:rPr>
          <w:rFonts w:ascii="Times New Roman" w:hAnsi="Times New Roman" w:cs="Times New Roman"/>
        </w:rPr>
      </w:pPr>
      <w:r>
        <w:rPr>
          <w:rFonts w:ascii="Times New Roman" w:hAnsi="Times New Roman" w:cs="Times New Roman"/>
        </w:rPr>
        <w:t xml:space="preserve">Final Report to the Edna Bailey </w:t>
      </w:r>
      <w:proofErr w:type="spellStart"/>
      <w:r>
        <w:rPr>
          <w:rFonts w:ascii="Times New Roman" w:hAnsi="Times New Roman" w:cs="Times New Roman"/>
        </w:rPr>
        <w:t>Sussman</w:t>
      </w:r>
      <w:proofErr w:type="spellEnd"/>
      <w:r>
        <w:rPr>
          <w:rFonts w:ascii="Times New Roman" w:hAnsi="Times New Roman" w:cs="Times New Roman"/>
        </w:rPr>
        <w:t xml:space="preserve"> Foundation, 2019</w:t>
      </w:r>
    </w:p>
    <w:p w14:paraId="2DB7575C" w14:textId="77777777" w:rsidR="00CD0E58" w:rsidRDefault="00CD0E58">
      <w:pPr>
        <w:rPr>
          <w:rFonts w:ascii="Times New Roman" w:hAnsi="Times New Roman" w:cs="Times New Roman"/>
        </w:rPr>
      </w:pPr>
    </w:p>
    <w:p w14:paraId="0FCB7189" w14:textId="0CC16030" w:rsidR="00B14D5D" w:rsidRPr="00EA6DBF" w:rsidRDefault="00CD0E58">
      <w:pPr>
        <w:rPr>
          <w:rFonts w:ascii="Times New Roman" w:hAnsi="Times New Roman" w:cs="Times New Roman"/>
          <w:b/>
        </w:rPr>
      </w:pPr>
      <w:r w:rsidRPr="00CD0E58">
        <w:rPr>
          <w:rFonts w:ascii="Times New Roman" w:hAnsi="Times New Roman" w:cs="Times New Roman"/>
          <w:b/>
        </w:rPr>
        <w:t>Introduction</w:t>
      </w:r>
    </w:p>
    <w:p w14:paraId="0ACF43C1" w14:textId="3F8EDC20" w:rsidR="00C73CFB" w:rsidRDefault="00B14D5D">
      <w:pPr>
        <w:rPr>
          <w:rFonts w:ascii="Times New Roman" w:hAnsi="Times New Roman" w:cs="Times New Roman"/>
        </w:rPr>
      </w:pPr>
      <w:r>
        <w:rPr>
          <w:rFonts w:ascii="Times New Roman" w:hAnsi="Times New Roman" w:cs="Times New Roman"/>
        </w:rPr>
        <w:tab/>
      </w:r>
      <w:r w:rsidR="00EA6DBF">
        <w:rPr>
          <w:rFonts w:ascii="Times New Roman" w:hAnsi="Times New Roman" w:cs="Times New Roman"/>
        </w:rPr>
        <w:t xml:space="preserve">Arthropod vectors are invertebrates such as mosquitos, fleas, or ticks which carry and transmit pathogens to other organisms after feeding on blood, making them important transmission routes for disease. </w:t>
      </w:r>
      <w:r>
        <w:rPr>
          <w:rFonts w:ascii="Times New Roman" w:hAnsi="Times New Roman" w:cs="Times New Roman"/>
        </w:rPr>
        <w:t xml:space="preserve">Lyme disease is </w:t>
      </w:r>
      <w:r w:rsidR="00B87221">
        <w:rPr>
          <w:rFonts w:ascii="Times New Roman" w:hAnsi="Times New Roman" w:cs="Times New Roman"/>
        </w:rPr>
        <w:t>the most common arthropod-borne disease in the United States. This disease makes up 95% of all vector-borne illnesses reported in the U.S. and it</w:t>
      </w:r>
      <w:r>
        <w:rPr>
          <w:rFonts w:ascii="Times New Roman" w:hAnsi="Times New Roman" w:cs="Times New Roman"/>
        </w:rPr>
        <w:t xml:space="preserve"> is estimated to infect</w:t>
      </w:r>
      <w:r w:rsidR="00B87221">
        <w:rPr>
          <w:rFonts w:ascii="Times New Roman" w:hAnsi="Times New Roman" w:cs="Times New Roman"/>
        </w:rPr>
        <w:t xml:space="preserve"> 300,000 people annually (Ward &amp; Brown, 2003). Infection results in a myriad of symptoms including a mild rash, flu-like illness, debilitating arthritis, and even heart attacks (</w:t>
      </w:r>
      <w:proofErr w:type="spellStart"/>
      <w:r w:rsidR="00B87221">
        <w:rPr>
          <w:rFonts w:ascii="Times New Roman" w:hAnsi="Times New Roman" w:cs="Times New Roman"/>
        </w:rPr>
        <w:t>Radolf</w:t>
      </w:r>
      <w:proofErr w:type="spellEnd"/>
      <w:r w:rsidR="00B87221">
        <w:rPr>
          <w:rFonts w:ascii="Times New Roman" w:hAnsi="Times New Roman" w:cs="Times New Roman"/>
        </w:rPr>
        <w:t xml:space="preserve"> et al. 2012). The disease is caused by the spirochete (spiral-shaped bacterium) known as </w:t>
      </w:r>
      <w:r w:rsidR="00B87221">
        <w:rPr>
          <w:rFonts w:ascii="Times New Roman" w:hAnsi="Times New Roman" w:cs="Times New Roman"/>
          <w:i/>
        </w:rPr>
        <w:t xml:space="preserve">Borrelia burgdorferi </w:t>
      </w:r>
      <w:r w:rsidR="00B87221">
        <w:rPr>
          <w:rFonts w:ascii="Times New Roman" w:hAnsi="Times New Roman" w:cs="Times New Roman"/>
        </w:rPr>
        <w:t>which is transmitted primarily by the black-legged tick (</w:t>
      </w:r>
      <w:r w:rsidR="00B87221">
        <w:rPr>
          <w:rFonts w:ascii="Times New Roman" w:hAnsi="Times New Roman" w:cs="Times New Roman"/>
          <w:i/>
        </w:rPr>
        <w:t xml:space="preserve">Ixodes scapularis) </w:t>
      </w:r>
      <w:r w:rsidR="00B87221">
        <w:rPr>
          <w:rFonts w:ascii="Times New Roman" w:hAnsi="Times New Roman" w:cs="Times New Roman"/>
        </w:rPr>
        <w:t>(Wright et al. 2012)</w:t>
      </w:r>
      <w:r w:rsidR="00B87221">
        <w:rPr>
          <w:rFonts w:ascii="Times New Roman" w:hAnsi="Times New Roman" w:cs="Times New Roman"/>
          <w:i/>
        </w:rPr>
        <w:t xml:space="preserve">. </w:t>
      </w:r>
      <w:r w:rsidR="00B87221">
        <w:rPr>
          <w:rFonts w:ascii="Times New Roman" w:hAnsi="Times New Roman" w:cs="Times New Roman"/>
        </w:rPr>
        <w:t xml:space="preserve">Different genotypes of this bacterium can cause more severe symptoms </w:t>
      </w:r>
      <w:r w:rsidR="00C73CFB">
        <w:rPr>
          <w:rFonts w:ascii="Times New Roman" w:hAnsi="Times New Roman" w:cs="Times New Roman"/>
        </w:rPr>
        <w:t xml:space="preserve">and are </w:t>
      </w:r>
      <w:r w:rsidR="00462276">
        <w:rPr>
          <w:rFonts w:ascii="Times New Roman" w:hAnsi="Times New Roman" w:cs="Times New Roman"/>
        </w:rPr>
        <w:t xml:space="preserve">collectively </w:t>
      </w:r>
      <w:r w:rsidR="00C73CFB">
        <w:rPr>
          <w:rFonts w:ascii="Times New Roman" w:hAnsi="Times New Roman" w:cs="Times New Roman"/>
        </w:rPr>
        <w:t>known as Human Invasive Strains (HIS) (</w:t>
      </w:r>
      <w:proofErr w:type="spellStart"/>
      <w:r w:rsidR="00C73CFB">
        <w:rPr>
          <w:rFonts w:ascii="Times New Roman" w:hAnsi="Times New Roman" w:cs="Times New Roman"/>
        </w:rPr>
        <w:t>Earnhart</w:t>
      </w:r>
      <w:proofErr w:type="spellEnd"/>
      <w:r w:rsidR="00C73CFB">
        <w:rPr>
          <w:rFonts w:ascii="Times New Roman" w:hAnsi="Times New Roman" w:cs="Times New Roman"/>
        </w:rPr>
        <w:t xml:space="preserve"> et al. 2005). </w:t>
      </w:r>
      <w:r w:rsidR="00462276">
        <w:rPr>
          <w:rFonts w:ascii="Times New Roman" w:hAnsi="Times New Roman" w:cs="Times New Roman"/>
        </w:rPr>
        <w:t xml:space="preserve">Understanding </w:t>
      </w:r>
      <w:r w:rsidR="00C73CFB">
        <w:rPr>
          <w:rFonts w:ascii="Times New Roman" w:hAnsi="Times New Roman" w:cs="Times New Roman"/>
        </w:rPr>
        <w:t>what is driving the prevalence of these severe strains i</w:t>
      </w:r>
      <w:r w:rsidR="00B31B21">
        <w:rPr>
          <w:rFonts w:ascii="Times New Roman" w:hAnsi="Times New Roman" w:cs="Times New Roman"/>
        </w:rPr>
        <w:t>s</w:t>
      </w:r>
      <w:r w:rsidR="00462276">
        <w:rPr>
          <w:rFonts w:ascii="Times New Roman" w:hAnsi="Times New Roman" w:cs="Times New Roman"/>
        </w:rPr>
        <w:t xml:space="preserve"> critical</w:t>
      </w:r>
      <w:r w:rsidR="00B31B21">
        <w:rPr>
          <w:rFonts w:ascii="Times New Roman" w:hAnsi="Times New Roman" w:cs="Times New Roman"/>
        </w:rPr>
        <w:t xml:space="preserve"> </w:t>
      </w:r>
      <w:r w:rsidR="00462276">
        <w:rPr>
          <w:rFonts w:ascii="Times New Roman" w:hAnsi="Times New Roman" w:cs="Times New Roman"/>
        </w:rPr>
        <w:t>to</w:t>
      </w:r>
      <w:r w:rsidR="00C73CFB">
        <w:rPr>
          <w:rFonts w:ascii="Times New Roman" w:hAnsi="Times New Roman" w:cs="Times New Roman"/>
        </w:rPr>
        <w:t xml:space="preserve"> better predict and prevent Lyme disease</w:t>
      </w:r>
      <w:r w:rsidR="00462276">
        <w:rPr>
          <w:rFonts w:ascii="Times New Roman" w:hAnsi="Times New Roman" w:cs="Times New Roman"/>
        </w:rPr>
        <w:t xml:space="preserve"> especially in areas of recent emergence</w:t>
      </w:r>
      <w:r w:rsidR="00C73CFB">
        <w:rPr>
          <w:rFonts w:ascii="Times New Roman" w:hAnsi="Times New Roman" w:cs="Times New Roman"/>
        </w:rPr>
        <w:t xml:space="preserve">. </w:t>
      </w:r>
    </w:p>
    <w:p w14:paraId="4C66F251" w14:textId="62CC1D75" w:rsidR="003A479A" w:rsidRPr="003A479A" w:rsidRDefault="00C73CFB">
      <w:pPr>
        <w:rPr>
          <w:rFonts w:ascii="Times New Roman" w:hAnsi="Times New Roman" w:cs="Times New Roman"/>
        </w:rPr>
      </w:pPr>
      <w:r>
        <w:rPr>
          <w:rFonts w:ascii="Times New Roman" w:hAnsi="Times New Roman" w:cs="Times New Roman"/>
        </w:rPr>
        <w:tab/>
        <w:t>The emergence and spread of Lyme disease are linked to various environmental factors including climate change and fragmented reforestation (</w:t>
      </w:r>
      <w:proofErr w:type="spellStart"/>
      <w:r>
        <w:rPr>
          <w:rFonts w:ascii="Times New Roman" w:hAnsi="Times New Roman" w:cs="Times New Roman"/>
        </w:rPr>
        <w:t>Millins</w:t>
      </w:r>
      <w:proofErr w:type="spellEnd"/>
      <w:r>
        <w:rPr>
          <w:rFonts w:ascii="Times New Roman" w:hAnsi="Times New Roman" w:cs="Times New Roman"/>
        </w:rPr>
        <w:t xml:space="preserve"> et al. 2016). However, the influence of landscape management practices on Lyme disease risk has not been thoroughly examined. Landscape ecology can affect</w:t>
      </w:r>
      <w:r w:rsidR="00462276">
        <w:rPr>
          <w:rFonts w:ascii="Times New Roman" w:hAnsi="Times New Roman" w:cs="Times New Roman"/>
        </w:rPr>
        <w:t xml:space="preserve"> both</w:t>
      </w:r>
      <w:r>
        <w:rPr>
          <w:rFonts w:ascii="Times New Roman" w:hAnsi="Times New Roman" w:cs="Times New Roman"/>
        </w:rPr>
        <w:t xml:space="preserve"> animal host community structure and tick populations (</w:t>
      </w:r>
      <w:proofErr w:type="spellStart"/>
      <w:r>
        <w:rPr>
          <w:rFonts w:ascii="Times New Roman" w:hAnsi="Times New Roman" w:cs="Times New Roman"/>
        </w:rPr>
        <w:t>Ostfeld</w:t>
      </w:r>
      <w:proofErr w:type="spellEnd"/>
      <w:r w:rsidR="00DC749F">
        <w:rPr>
          <w:rFonts w:ascii="Times New Roman" w:hAnsi="Times New Roman" w:cs="Times New Roman"/>
        </w:rPr>
        <w:t xml:space="preserve"> et al.</w:t>
      </w:r>
      <w:r>
        <w:rPr>
          <w:rFonts w:ascii="Times New Roman" w:hAnsi="Times New Roman" w:cs="Times New Roman"/>
        </w:rPr>
        <w:t xml:space="preserve"> 2018).  </w:t>
      </w:r>
      <w:r w:rsidR="003A479A">
        <w:rPr>
          <w:rFonts w:ascii="Times New Roman" w:hAnsi="Times New Roman" w:cs="Times New Roman"/>
        </w:rPr>
        <w:t>Therefore, landscape management strategies that modify forests may have a trickle-down effect on ticks, their hosts, and</w:t>
      </w:r>
      <w:r w:rsidR="00462276">
        <w:rPr>
          <w:rFonts w:ascii="Times New Roman" w:hAnsi="Times New Roman" w:cs="Times New Roman"/>
        </w:rPr>
        <w:t xml:space="preserve"> possibly</w:t>
      </w:r>
      <w:r w:rsidR="003A479A">
        <w:rPr>
          <w:rFonts w:ascii="Times New Roman" w:hAnsi="Times New Roman" w:cs="Times New Roman"/>
        </w:rPr>
        <w:t xml:space="preserve"> Lyme disease risk. Lyme disease risk is a measurable parameter using the density of nymphal ticks and the nymphal infection prevalence in order to quantify a human’s risk of getting Lyme disease in a particular area (</w:t>
      </w:r>
      <w:proofErr w:type="spellStart"/>
      <w:r w:rsidR="003A479A">
        <w:rPr>
          <w:rFonts w:ascii="Times New Roman" w:hAnsi="Times New Roman" w:cs="Times New Roman"/>
        </w:rPr>
        <w:t>Vourch</w:t>
      </w:r>
      <w:proofErr w:type="spellEnd"/>
      <w:r w:rsidR="003A479A">
        <w:rPr>
          <w:rFonts w:ascii="Times New Roman" w:hAnsi="Times New Roman" w:cs="Times New Roman"/>
        </w:rPr>
        <w:t xml:space="preserve"> et al. 2016). Understanding how landscape ecology and landscape management influences Lyme disease risk can </w:t>
      </w:r>
      <w:r w:rsidR="00462276">
        <w:rPr>
          <w:rFonts w:ascii="Times New Roman" w:hAnsi="Times New Roman" w:cs="Times New Roman"/>
        </w:rPr>
        <w:t>inform on the</w:t>
      </w:r>
      <w:r w:rsidR="003A479A">
        <w:rPr>
          <w:rFonts w:ascii="Times New Roman" w:hAnsi="Times New Roman" w:cs="Times New Roman"/>
        </w:rPr>
        <w:t xml:space="preserve"> usage of various forest </w:t>
      </w:r>
      <w:r w:rsidR="00434560">
        <w:rPr>
          <w:rFonts w:ascii="Times New Roman" w:hAnsi="Times New Roman" w:cs="Times New Roman"/>
        </w:rPr>
        <w:t>management</w:t>
      </w:r>
      <w:r w:rsidR="003A479A">
        <w:rPr>
          <w:rFonts w:ascii="Times New Roman" w:hAnsi="Times New Roman" w:cs="Times New Roman"/>
        </w:rPr>
        <w:t xml:space="preserve"> strategies that could potentially reduce Lyme disease risk</w:t>
      </w:r>
      <w:r w:rsidR="00462276">
        <w:rPr>
          <w:rFonts w:ascii="Times New Roman" w:hAnsi="Times New Roman" w:cs="Times New Roman"/>
        </w:rPr>
        <w:t>.</w:t>
      </w:r>
      <w:r w:rsidR="003A479A">
        <w:rPr>
          <w:rFonts w:ascii="Times New Roman" w:hAnsi="Times New Roman" w:cs="Times New Roman"/>
        </w:rPr>
        <w:t xml:space="preserve"> </w:t>
      </w:r>
      <w:r w:rsidR="00462276">
        <w:rPr>
          <w:rFonts w:ascii="Times New Roman" w:hAnsi="Times New Roman" w:cs="Times New Roman"/>
        </w:rPr>
        <w:t>For example, using</w:t>
      </w:r>
      <w:r w:rsidR="003A479A">
        <w:rPr>
          <w:rFonts w:ascii="Times New Roman" w:hAnsi="Times New Roman" w:cs="Times New Roman"/>
        </w:rPr>
        <w:t xml:space="preserve"> invasive understory management</w:t>
      </w:r>
      <w:r w:rsidR="00DC749F">
        <w:rPr>
          <w:rFonts w:ascii="Times New Roman" w:hAnsi="Times New Roman" w:cs="Times New Roman"/>
        </w:rPr>
        <w:t>,</w:t>
      </w:r>
      <w:r w:rsidR="003A479A">
        <w:rPr>
          <w:rFonts w:ascii="Times New Roman" w:hAnsi="Times New Roman" w:cs="Times New Roman"/>
        </w:rPr>
        <w:t xml:space="preserve"> which has the potential to reduce risk by providing less habitat for ticks and less cover for small mammal disease reservoirs (Bergstrom et al. 2018). Because forest management has the potential to reduce Lyme risk, it is important to know </w:t>
      </w:r>
      <w:r w:rsidR="00434560">
        <w:rPr>
          <w:rFonts w:ascii="Times New Roman" w:hAnsi="Times New Roman" w:cs="Times New Roman"/>
        </w:rPr>
        <w:t xml:space="preserve">what different forest characteristics are correlated with a higher prevalence of Lyme disease. </w:t>
      </w:r>
    </w:p>
    <w:p w14:paraId="246AF7E7" w14:textId="77777777" w:rsidR="00B14D5D" w:rsidRPr="00B14D5D" w:rsidRDefault="00B14D5D">
      <w:pPr>
        <w:rPr>
          <w:rFonts w:ascii="Times New Roman" w:hAnsi="Times New Roman" w:cs="Times New Roman"/>
        </w:rPr>
      </w:pPr>
    </w:p>
    <w:p w14:paraId="5B4D28FE" w14:textId="099AA53A" w:rsidR="00434560" w:rsidRDefault="00434560">
      <w:pPr>
        <w:rPr>
          <w:rFonts w:ascii="Times New Roman" w:hAnsi="Times New Roman" w:cs="Times New Roman"/>
          <w:b/>
        </w:rPr>
      </w:pPr>
      <w:r>
        <w:rPr>
          <w:rFonts w:ascii="Times New Roman" w:hAnsi="Times New Roman" w:cs="Times New Roman"/>
          <w:b/>
        </w:rPr>
        <w:t>Summary of Proposed Work</w:t>
      </w:r>
    </w:p>
    <w:p w14:paraId="3A2A6CF1" w14:textId="609766E7" w:rsidR="00434560" w:rsidRDefault="00434560">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aim of </w:t>
      </w:r>
      <w:r w:rsidR="00462276">
        <w:rPr>
          <w:rFonts w:ascii="Times New Roman" w:hAnsi="Times New Roman" w:cs="Times New Roman"/>
        </w:rPr>
        <w:t>this work was</w:t>
      </w:r>
      <w:r>
        <w:rPr>
          <w:rFonts w:ascii="Times New Roman" w:hAnsi="Times New Roman" w:cs="Times New Roman"/>
        </w:rPr>
        <w:t xml:space="preserve"> to understand how landscape management practices influence Lyme disease risk by examining two very distinct forests that are close in proximity (30 meters)</w:t>
      </w:r>
      <w:r w:rsidR="00C60F59">
        <w:rPr>
          <w:rFonts w:ascii="Times New Roman" w:hAnsi="Times New Roman" w:cs="Times New Roman"/>
        </w:rPr>
        <w:t xml:space="preserve"> </w:t>
      </w:r>
      <w:r w:rsidR="00DC749F">
        <w:rPr>
          <w:rFonts w:ascii="Times New Roman" w:hAnsi="Times New Roman" w:cs="Times New Roman"/>
        </w:rPr>
        <w:t xml:space="preserve">and </w:t>
      </w:r>
      <w:r w:rsidR="00C60F59">
        <w:rPr>
          <w:rFonts w:ascii="Times New Roman" w:hAnsi="Times New Roman" w:cs="Times New Roman"/>
        </w:rPr>
        <w:t>found on the Fullers Overlook Estate Foundation property in Waverly, PA</w:t>
      </w:r>
      <w:r>
        <w:rPr>
          <w:rFonts w:ascii="Times New Roman" w:hAnsi="Times New Roman" w:cs="Times New Roman"/>
        </w:rPr>
        <w:t>. These sites differ dramatically in their forest composition; one is comprised of Northeastern mixed hardwoods while the other forest is a dying ash tree forest dominated by an invasive plant understory</w:t>
      </w:r>
      <w:r w:rsidR="00C60F59">
        <w:rPr>
          <w:rFonts w:ascii="Times New Roman" w:hAnsi="Times New Roman" w:cs="Times New Roman"/>
        </w:rPr>
        <w:t xml:space="preserve"> made up of multiflora rose and autumn olive</w:t>
      </w:r>
      <w:r>
        <w:rPr>
          <w:rFonts w:ascii="Times New Roman" w:hAnsi="Times New Roman" w:cs="Times New Roman"/>
        </w:rPr>
        <w:t>. These two forests have different small mammal communities and tick populations, which is peculiar given their closeness. Because ticks pick up Lyme disease from various small mammals and different mammal species harbor different strains of the disease, differences in mammal communities may influence risk between the two sites. My objectives for this project include:</w:t>
      </w:r>
    </w:p>
    <w:p w14:paraId="08A23D22" w14:textId="77777777" w:rsidR="00434560" w:rsidRDefault="00434560" w:rsidP="00434560">
      <w:pPr>
        <w:rPr>
          <w:rFonts w:ascii="Times New Roman" w:hAnsi="Times New Roman" w:cs="Times New Roman"/>
        </w:rPr>
      </w:pPr>
      <w:r>
        <w:rPr>
          <w:rFonts w:ascii="Times New Roman" w:hAnsi="Times New Roman" w:cs="Times New Roman"/>
        </w:rPr>
        <w:lastRenderedPageBreak/>
        <w:t xml:space="preserve">1. Sample small mammals, questing, and host-associated ticks in the two forests </w:t>
      </w:r>
    </w:p>
    <w:p w14:paraId="53100430" w14:textId="77777777" w:rsidR="00434560" w:rsidRPr="00434560" w:rsidRDefault="00434560" w:rsidP="00434560">
      <w:pPr>
        <w:rPr>
          <w:rFonts w:ascii="Times New Roman" w:hAnsi="Times New Roman" w:cs="Times New Roman"/>
        </w:rPr>
      </w:pPr>
      <w:r>
        <w:rPr>
          <w:rFonts w:ascii="Times New Roman" w:hAnsi="Times New Roman" w:cs="Times New Roman"/>
        </w:rPr>
        <w:t xml:space="preserve">2. Investigate </w:t>
      </w:r>
      <w:r>
        <w:rPr>
          <w:rFonts w:ascii="Times New Roman" w:hAnsi="Times New Roman" w:cs="Times New Roman"/>
          <w:i/>
        </w:rPr>
        <w:t xml:space="preserve">B. burgdorferi </w:t>
      </w:r>
      <w:r>
        <w:rPr>
          <w:rFonts w:ascii="Times New Roman" w:hAnsi="Times New Roman" w:cs="Times New Roman"/>
        </w:rPr>
        <w:t>infection prevalence in small mammals and ticks and compare between forests</w:t>
      </w:r>
    </w:p>
    <w:p w14:paraId="287D802D" w14:textId="77777777" w:rsidR="00434560" w:rsidRDefault="00434560" w:rsidP="00434560">
      <w:pPr>
        <w:rPr>
          <w:rFonts w:ascii="Times New Roman" w:hAnsi="Times New Roman" w:cs="Times New Roman"/>
        </w:rPr>
      </w:pPr>
      <w:r>
        <w:rPr>
          <w:rFonts w:ascii="Times New Roman" w:hAnsi="Times New Roman" w:cs="Times New Roman"/>
        </w:rPr>
        <w:t>3. Compare human disease risk between forests</w:t>
      </w:r>
    </w:p>
    <w:p w14:paraId="71AB16E9" w14:textId="77777777" w:rsidR="00434560" w:rsidRDefault="00434560">
      <w:pPr>
        <w:rPr>
          <w:rFonts w:ascii="Times New Roman" w:hAnsi="Times New Roman" w:cs="Times New Roman"/>
          <w:b/>
        </w:rPr>
      </w:pPr>
    </w:p>
    <w:p w14:paraId="0F28F280" w14:textId="3788791A" w:rsidR="00CD0E58" w:rsidRDefault="00CD0E58">
      <w:pPr>
        <w:rPr>
          <w:rFonts w:ascii="Times New Roman" w:hAnsi="Times New Roman" w:cs="Times New Roman"/>
          <w:b/>
        </w:rPr>
      </w:pPr>
      <w:r w:rsidRPr="00CD0E58">
        <w:rPr>
          <w:rFonts w:ascii="Times New Roman" w:hAnsi="Times New Roman" w:cs="Times New Roman"/>
          <w:b/>
        </w:rPr>
        <w:t>Work Completed</w:t>
      </w:r>
    </w:p>
    <w:p w14:paraId="30EBC0F6" w14:textId="77777777" w:rsidR="00434560" w:rsidRDefault="00434560">
      <w:pPr>
        <w:rPr>
          <w:rFonts w:ascii="Times New Roman" w:hAnsi="Times New Roman" w:cs="Times New Roman"/>
        </w:rPr>
      </w:pPr>
      <w:r>
        <w:rPr>
          <w:rFonts w:ascii="Times New Roman" w:hAnsi="Times New Roman" w:cs="Times New Roman"/>
          <w:b/>
        </w:rPr>
        <w:tab/>
      </w:r>
      <w:r w:rsidR="00C60F59">
        <w:rPr>
          <w:rFonts w:ascii="Times New Roman" w:hAnsi="Times New Roman" w:cs="Times New Roman"/>
        </w:rPr>
        <w:t xml:space="preserve">Small mammals were trapped and ticks were collected over seven separate sampling events from May to August 2019. Small mammals were trapped using Sherman box traps baited with oats and a </w:t>
      </w:r>
      <w:proofErr w:type="spellStart"/>
      <w:r w:rsidR="00C60F59">
        <w:rPr>
          <w:rFonts w:ascii="Times New Roman" w:hAnsi="Times New Roman" w:cs="Times New Roman"/>
        </w:rPr>
        <w:t>nestlet</w:t>
      </w:r>
      <w:proofErr w:type="spellEnd"/>
      <w:r w:rsidR="00C60F59">
        <w:rPr>
          <w:rFonts w:ascii="Times New Roman" w:hAnsi="Times New Roman" w:cs="Times New Roman"/>
        </w:rPr>
        <w:t xml:space="preserve"> for thermal protection and bedding. The traps were pla</w:t>
      </w:r>
      <w:r w:rsidR="00347B9C">
        <w:rPr>
          <w:rFonts w:ascii="Times New Roman" w:hAnsi="Times New Roman" w:cs="Times New Roman"/>
        </w:rPr>
        <w:t xml:space="preserve">ced in a grid made up of 100 traps spaced 10 meters apart in both the hardwood and ash forests. In general traps were left open for four days and three nights each session for a total of 54,925 total trap hours in the hardwood and 54,725 hours in the ash forest. Traps were checked in the morning and evenings making sure to not leave the traps unchecked for more than 12 hours. When animals were captured they were </w:t>
      </w:r>
      <w:r w:rsidR="00DC749F">
        <w:rPr>
          <w:rFonts w:ascii="Times New Roman" w:hAnsi="Times New Roman" w:cs="Times New Roman"/>
        </w:rPr>
        <w:t>anesthetized</w:t>
      </w:r>
      <w:r w:rsidR="00347B9C">
        <w:rPr>
          <w:rFonts w:ascii="Times New Roman" w:hAnsi="Times New Roman" w:cs="Times New Roman"/>
        </w:rPr>
        <w:t xml:space="preserve"> in order to take measurements, apply a uniquely numbered ear tag for population estimates, obtain an ear tissue sample for Lyme testing, and remove ticks. </w:t>
      </w:r>
    </w:p>
    <w:p w14:paraId="5F567A80" w14:textId="3903C7F2" w:rsidR="00347B9C" w:rsidRDefault="00347B9C">
      <w:pPr>
        <w:rPr>
          <w:rFonts w:ascii="Times New Roman" w:hAnsi="Times New Roman" w:cs="Times New Roman"/>
        </w:rPr>
      </w:pPr>
      <w:r>
        <w:rPr>
          <w:rFonts w:ascii="Times New Roman" w:hAnsi="Times New Roman" w:cs="Times New Roman"/>
        </w:rPr>
        <w:tab/>
        <w:t xml:space="preserve">Host-associated ticks were not the only ticks collected, questing ticks were also collected over the seven sessions in order to quantify risk. During each trapping session questing </w:t>
      </w:r>
      <w:r w:rsidR="00DC4FCC">
        <w:rPr>
          <w:rFonts w:ascii="Times New Roman" w:hAnsi="Times New Roman" w:cs="Times New Roman"/>
        </w:rPr>
        <w:t xml:space="preserve">ticks </w:t>
      </w:r>
      <w:r>
        <w:rPr>
          <w:rFonts w:ascii="Times New Roman" w:hAnsi="Times New Roman" w:cs="Times New Roman"/>
        </w:rPr>
        <w:t>were collected from each forest plot by dragging a 1m</w:t>
      </w:r>
      <w:r>
        <w:rPr>
          <w:rFonts w:ascii="Times New Roman" w:hAnsi="Times New Roman" w:cs="Times New Roman"/>
          <w:vertAlign w:val="superscript"/>
        </w:rPr>
        <w:t xml:space="preserve">2 </w:t>
      </w:r>
      <w:r>
        <w:rPr>
          <w:rFonts w:ascii="Times New Roman" w:hAnsi="Times New Roman" w:cs="Times New Roman"/>
        </w:rPr>
        <w:t xml:space="preserve">white cloth through the leaf litter. </w:t>
      </w:r>
      <w:r w:rsidR="00DC4FCC">
        <w:rPr>
          <w:rFonts w:ascii="Times New Roman" w:hAnsi="Times New Roman" w:cs="Times New Roman"/>
        </w:rPr>
        <w:t>Questing ticks were not only collected from the hardwood and ash sites; ticks were also collected from 4 other sites on the property that were either highly trafficked or unique habitat areas. This was done to determine the risk of Lyme disease thr</w:t>
      </w:r>
      <w:r w:rsidR="00DC2713">
        <w:rPr>
          <w:rFonts w:ascii="Times New Roman" w:hAnsi="Times New Roman" w:cs="Times New Roman"/>
        </w:rPr>
        <w:t>oughout the Overlook property. A total of 1000m</w:t>
      </w:r>
      <w:r w:rsidR="00DC2713">
        <w:rPr>
          <w:rFonts w:ascii="Times New Roman" w:hAnsi="Times New Roman" w:cs="Times New Roman"/>
          <w:vertAlign w:val="superscript"/>
        </w:rPr>
        <w:t xml:space="preserve">2 </w:t>
      </w:r>
      <w:r w:rsidR="00DC2713">
        <w:rPr>
          <w:rFonts w:ascii="Times New Roman" w:hAnsi="Times New Roman" w:cs="Times New Roman"/>
        </w:rPr>
        <w:t>were sampled at each habitat every session. In all,</w:t>
      </w:r>
      <w:r w:rsidR="00D268FB">
        <w:rPr>
          <w:rFonts w:ascii="Times New Roman" w:hAnsi="Times New Roman" w:cs="Times New Roman"/>
        </w:rPr>
        <w:t xml:space="preserve"> 6</w:t>
      </w:r>
      <w:r w:rsidR="00DC2713">
        <w:rPr>
          <w:rFonts w:ascii="Times New Roman" w:hAnsi="Times New Roman" w:cs="Times New Roman"/>
        </w:rPr>
        <w:t>000m</w:t>
      </w:r>
      <w:r w:rsidR="00DC2713">
        <w:rPr>
          <w:rFonts w:ascii="Times New Roman" w:hAnsi="Times New Roman" w:cs="Times New Roman"/>
          <w:vertAlign w:val="superscript"/>
        </w:rPr>
        <w:t xml:space="preserve">2 </w:t>
      </w:r>
      <w:r w:rsidR="00D268FB">
        <w:rPr>
          <w:rFonts w:ascii="Times New Roman" w:hAnsi="Times New Roman" w:cs="Times New Roman"/>
        </w:rPr>
        <w:t>were searched for ticks during each session</w:t>
      </w:r>
      <w:r w:rsidR="00DC2713">
        <w:rPr>
          <w:rFonts w:ascii="Times New Roman" w:hAnsi="Times New Roman" w:cs="Times New Roman"/>
        </w:rPr>
        <w:t>, totaling 42,000m</w:t>
      </w:r>
      <w:r w:rsidR="00DC2713">
        <w:rPr>
          <w:rFonts w:ascii="Times New Roman" w:hAnsi="Times New Roman" w:cs="Times New Roman"/>
          <w:vertAlign w:val="superscript"/>
        </w:rPr>
        <w:t xml:space="preserve">2 </w:t>
      </w:r>
      <w:r w:rsidR="00DC2713">
        <w:rPr>
          <w:rFonts w:ascii="Times New Roman" w:hAnsi="Times New Roman" w:cs="Times New Roman"/>
        </w:rPr>
        <w:t xml:space="preserve">or </w:t>
      </w:r>
      <w:r w:rsidR="00647349">
        <w:rPr>
          <w:rFonts w:ascii="Times New Roman" w:hAnsi="Times New Roman" w:cs="Times New Roman"/>
        </w:rPr>
        <w:t>~26 miles of transect</w:t>
      </w:r>
      <w:r w:rsidR="00DC2713">
        <w:rPr>
          <w:rFonts w:ascii="Times New Roman" w:hAnsi="Times New Roman" w:cs="Times New Roman"/>
        </w:rPr>
        <w:t xml:space="preserve"> surveyed from May to August 2019. </w:t>
      </w:r>
      <w:r w:rsidR="00DC4FCC">
        <w:rPr>
          <w:rFonts w:ascii="Times New Roman" w:hAnsi="Times New Roman" w:cs="Times New Roman"/>
        </w:rPr>
        <w:t xml:space="preserve">The ticks were collected off the cloth using forceps and brought back to the lab for processing. </w:t>
      </w:r>
    </w:p>
    <w:p w14:paraId="13A6783D" w14:textId="77777777" w:rsidR="00DC4FCC" w:rsidRPr="00DC4FCC" w:rsidRDefault="00DC4FCC">
      <w:pPr>
        <w:rPr>
          <w:rFonts w:ascii="Times New Roman" w:hAnsi="Times New Roman" w:cs="Times New Roman"/>
        </w:rPr>
      </w:pPr>
      <w:r>
        <w:rPr>
          <w:rFonts w:ascii="Times New Roman" w:hAnsi="Times New Roman" w:cs="Times New Roman"/>
        </w:rPr>
        <w:tab/>
        <w:t xml:space="preserve">Extensive lab methods were employed throughout the summer to determine Lyme disease prevalence in the sites. Mammal tissue samples and ticks were processed to determine if they harbored </w:t>
      </w:r>
      <w:r>
        <w:rPr>
          <w:rFonts w:ascii="Times New Roman" w:hAnsi="Times New Roman" w:cs="Times New Roman"/>
          <w:i/>
        </w:rPr>
        <w:t>B. burgdorferi</w:t>
      </w:r>
      <w:r>
        <w:rPr>
          <w:rFonts w:ascii="Times New Roman" w:hAnsi="Times New Roman" w:cs="Times New Roman"/>
        </w:rPr>
        <w:t>. The DNA was extracted from mammal tissue, host-associated ticks, and questing ticks using commercially available column-based extraction kits following manufacturer’s instructions. PCR was used to amplify specific Lyme disease primers and the product was run on agarose gels to determine Lyme positivity. Positive samples were recorded and saved for downstream genotyping in order to determine which samples have HIS. The procedure of genotyping the positive samples is still being perfected and will hopefully be completed by January</w:t>
      </w:r>
      <w:r w:rsidR="00DC749F">
        <w:rPr>
          <w:rFonts w:ascii="Times New Roman" w:hAnsi="Times New Roman" w:cs="Times New Roman"/>
        </w:rPr>
        <w:t xml:space="preserve"> 2020</w:t>
      </w:r>
      <w:r>
        <w:rPr>
          <w:rFonts w:ascii="Times New Roman" w:hAnsi="Times New Roman" w:cs="Times New Roman"/>
        </w:rPr>
        <w:t xml:space="preserve">. </w:t>
      </w:r>
      <w:r w:rsidR="00583E01">
        <w:rPr>
          <w:rFonts w:ascii="Times New Roman" w:hAnsi="Times New Roman" w:cs="Times New Roman"/>
        </w:rPr>
        <w:t>PCR was also done to determine what species of mice (white-footed or deer mouse) is present on the property.</w:t>
      </w:r>
    </w:p>
    <w:p w14:paraId="745F79AC" w14:textId="77777777" w:rsidR="00434560" w:rsidRPr="00CD0E58" w:rsidRDefault="00434560">
      <w:pPr>
        <w:rPr>
          <w:rFonts w:ascii="Times New Roman" w:hAnsi="Times New Roman" w:cs="Times New Roman"/>
          <w:b/>
        </w:rPr>
      </w:pPr>
    </w:p>
    <w:p w14:paraId="5CA6F834" w14:textId="3DD0B42B" w:rsidR="00795081" w:rsidRDefault="00CD0E58">
      <w:pPr>
        <w:rPr>
          <w:rFonts w:ascii="Times New Roman" w:hAnsi="Times New Roman" w:cs="Times New Roman"/>
          <w:b/>
        </w:rPr>
      </w:pPr>
      <w:r w:rsidRPr="00CD0E58">
        <w:rPr>
          <w:rFonts w:ascii="Times New Roman" w:hAnsi="Times New Roman" w:cs="Times New Roman"/>
          <w:b/>
        </w:rPr>
        <w:t>Results</w:t>
      </w:r>
    </w:p>
    <w:p w14:paraId="0C8CBCF5" w14:textId="41C2ECAB" w:rsidR="00795081" w:rsidRDefault="00795081">
      <w:pPr>
        <w:rPr>
          <w:rFonts w:ascii="Times New Roman" w:hAnsi="Times New Roman" w:cs="Times New Roman"/>
        </w:rPr>
      </w:pPr>
      <w:r>
        <w:rPr>
          <w:rFonts w:ascii="Times New Roman" w:hAnsi="Times New Roman" w:cs="Times New Roman"/>
          <w:b/>
        </w:rPr>
        <w:tab/>
      </w:r>
      <w:r w:rsidR="00583E01">
        <w:rPr>
          <w:rFonts w:ascii="Times New Roman" w:hAnsi="Times New Roman" w:cs="Times New Roman"/>
        </w:rPr>
        <w:t>During the summer of 2019, 132 small mammals were trapped a total of 381 times among both sites. 71 small mammal individuals were trapped in the hardwood forest a total of 238 times and 61 small mammals in the ash forest were trapped a total of 143 times. In the hardwood site 65% of captures were white-footed mice, 19% were red-backed voles, and 16% were chipmunks. In the ash site 50% of the animals captured were white-footed mice, 49% were red-backed voles and 1% were woodland jumping mice. These results show that the two properties, even though close in proximity, have differ</w:t>
      </w:r>
      <w:r w:rsidR="00462276">
        <w:rPr>
          <w:rFonts w:ascii="Times New Roman" w:hAnsi="Times New Roman" w:cs="Times New Roman"/>
        </w:rPr>
        <w:t>ing</w:t>
      </w:r>
      <w:r w:rsidR="00583E01">
        <w:rPr>
          <w:rFonts w:ascii="Times New Roman" w:hAnsi="Times New Roman" w:cs="Times New Roman"/>
        </w:rPr>
        <w:t xml:space="preserve"> small mammal communities</w:t>
      </w:r>
      <w:r w:rsidR="00462276">
        <w:rPr>
          <w:rFonts w:ascii="Times New Roman" w:hAnsi="Times New Roman" w:cs="Times New Roman"/>
        </w:rPr>
        <w:t>.</w:t>
      </w:r>
    </w:p>
    <w:p w14:paraId="0E39C339" w14:textId="6A87C174" w:rsidR="00583E01" w:rsidRDefault="00583E01">
      <w:pPr>
        <w:rPr>
          <w:rFonts w:ascii="Times New Roman" w:hAnsi="Times New Roman" w:cs="Times New Roman"/>
        </w:rPr>
      </w:pPr>
      <w:r>
        <w:rPr>
          <w:rFonts w:ascii="Times New Roman" w:hAnsi="Times New Roman" w:cs="Times New Roman"/>
        </w:rPr>
        <w:tab/>
        <w:t xml:space="preserve">Figure 1 below shows the results of Lyme disease infection testing in the small mammals captured. In the hardwood site 130 tissue samples were tested for Lyme disease and 56% tested positive (n=73). In the ash site 80 tissues samples were tested and 46% tested positive (n=37). In </w:t>
      </w:r>
      <w:r>
        <w:rPr>
          <w:rFonts w:ascii="Times New Roman" w:hAnsi="Times New Roman" w:cs="Times New Roman"/>
        </w:rPr>
        <w:lastRenderedPageBreak/>
        <w:t xml:space="preserve">the hardwood site 66% (27/41) of the white-footed mice captured tested positive. In the ash site 62% (13/21) of the white-footed mice captured tested positive. </w:t>
      </w:r>
      <w:r w:rsidR="00462276">
        <w:rPr>
          <w:rFonts w:ascii="Times New Roman" w:hAnsi="Times New Roman" w:cs="Times New Roman"/>
        </w:rPr>
        <w:t>Ten percent</w:t>
      </w:r>
      <w:r>
        <w:rPr>
          <w:rFonts w:ascii="Times New Roman" w:hAnsi="Times New Roman" w:cs="Times New Roman"/>
        </w:rPr>
        <w:t xml:space="preserve"> (2/19) of the voles captured in the hardwood site were positive for Lyme and 26% (10/39) of the voles from the ash site tested positive. In the hardwood site 73% (8/11) of the chipmunks were positive for Lyme disease. In the ash site 100% (1/1) of the jumping mice were positive for L</w:t>
      </w:r>
      <w:r w:rsidR="00DC749F">
        <w:rPr>
          <w:rFonts w:ascii="Times New Roman" w:hAnsi="Times New Roman" w:cs="Times New Roman"/>
        </w:rPr>
        <w:t xml:space="preserve">yme disease. These results </w:t>
      </w:r>
      <w:r w:rsidR="00462276">
        <w:rPr>
          <w:rFonts w:ascii="Times New Roman" w:hAnsi="Times New Roman" w:cs="Times New Roman"/>
        </w:rPr>
        <w:t>demonstrate</w:t>
      </w:r>
      <w:r>
        <w:rPr>
          <w:rFonts w:ascii="Times New Roman" w:hAnsi="Times New Roman" w:cs="Times New Roman"/>
        </w:rPr>
        <w:t xml:space="preserve"> that </w:t>
      </w:r>
      <w:r>
        <w:rPr>
          <w:rFonts w:ascii="Times New Roman" w:hAnsi="Times New Roman" w:cs="Times New Roman"/>
          <w:i/>
        </w:rPr>
        <w:t xml:space="preserve">Borrelia </w:t>
      </w:r>
      <w:r>
        <w:rPr>
          <w:rFonts w:ascii="Times New Roman" w:hAnsi="Times New Roman" w:cs="Times New Roman"/>
        </w:rPr>
        <w:t xml:space="preserve">infection in small mammals </w:t>
      </w:r>
      <w:r w:rsidR="00462276">
        <w:rPr>
          <w:rFonts w:ascii="Times New Roman" w:hAnsi="Times New Roman" w:cs="Times New Roman"/>
        </w:rPr>
        <w:t>is</w:t>
      </w:r>
      <w:r>
        <w:rPr>
          <w:rFonts w:ascii="Times New Roman" w:hAnsi="Times New Roman" w:cs="Times New Roman"/>
        </w:rPr>
        <w:t xml:space="preserve"> higher in the hardwood site than the ash site</w:t>
      </w:r>
      <w:r w:rsidR="00462276">
        <w:rPr>
          <w:rFonts w:ascii="Times New Roman" w:hAnsi="Times New Roman" w:cs="Times New Roman"/>
        </w:rPr>
        <w:t xml:space="preserve">. </w:t>
      </w:r>
      <w:r>
        <w:rPr>
          <w:rFonts w:ascii="Times New Roman" w:hAnsi="Times New Roman" w:cs="Times New Roman"/>
        </w:rPr>
        <w:t xml:space="preserve">The differences in forest patch composition may be contributing to the variations in infection rates. </w:t>
      </w:r>
    </w:p>
    <w:p w14:paraId="5903085E" w14:textId="77777777" w:rsidR="00583E01" w:rsidRDefault="00583E01" w:rsidP="00583E01">
      <w:pPr>
        <w:jc w:val="center"/>
        <w:rPr>
          <w:rFonts w:ascii="Times New Roman" w:hAnsi="Times New Roman" w:cs="Times New Roman"/>
        </w:rPr>
      </w:pPr>
      <w:r w:rsidRPr="00583E01">
        <w:rPr>
          <w:rFonts w:ascii="Times New Roman" w:hAnsi="Times New Roman" w:cs="Times New Roman"/>
          <w:noProof/>
          <w:lang w:eastAsia="en-US"/>
        </w:rPr>
        <w:drawing>
          <wp:inline distT="0" distB="0" distL="0" distR="0" wp14:anchorId="553A5CA8" wp14:editId="3B016EC0">
            <wp:extent cx="4235116" cy="2627697"/>
            <wp:effectExtent l="0" t="0" r="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464F3DC" w14:textId="77777777" w:rsidR="00583E01" w:rsidRDefault="00583E01" w:rsidP="00583E01">
      <w:pPr>
        <w:jc w:val="center"/>
        <w:rPr>
          <w:rFonts w:ascii="Times New Roman" w:hAnsi="Times New Roman" w:cs="Times New Roman"/>
        </w:rPr>
      </w:pPr>
      <w:r>
        <w:rPr>
          <w:rFonts w:ascii="Times New Roman" w:hAnsi="Times New Roman" w:cs="Times New Roman"/>
        </w:rPr>
        <w:t>Figure 1</w:t>
      </w:r>
      <w:r w:rsidRPr="00583E01">
        <w:rPr>
          <w:rFonts w:ascii="Times New Roman" w:hAnsi="Times New Roman" w:cs="Times New Roman"/>
        </w:rPr>
        <w:t xml:space="preserve">. </w:t>
      </w:r>
      <w:r>
        <w:rPr>
          <w:rFonts w:ascii="Times New Roman" w:hAnsi="Times New Roman" w:cs="Times New Roman"/>
          <w:i/>
          <w:iCs/>
        </w:rPr>
        <w:t xml:space="preserve">B. burgdorferi </w:t>
      </w:r>
      <w:r w:rsidRPr="00583E01">
        <w:rPr>
          <w:rFonts w:ascii="Times New Roman" w:hAnsi="Times New Roman" w:cs="Times New Roman"/>
        </w:rPr>
        <w:t xml:space="preserve">% relative abundance in small mammals from the </w:t>
      </w:r>
      <w:r>
        <w:rPr>
          <w:rFonts w:ascii="Times New Roman" w:hAnsi="Times New Roman" w:cs="Times New Roman"/>
        </w:rPr>
        <w:t>hardwood (</w:t>
      </w:r>
      <w:r w:rsidRPr="00583E01">
        <w:rPr>
          <w:rFonts w:ascii="Times New Roman" w:hAnsi="Times New Roman" w:cs="Times New Roman"/>
        </w:rPr>
        <w:t>HW</w:t>
      </w:r>
      <w:r>
        <w:rPr>
          <w:rFonts w:ascii="Times New Roman" w:hAnsi="Times New Roman" w:cs="Times New Roman"/>
        </w:rPr>
        <w:t>)</w:t>
      </w:r>
      <w:r w:rsidRPr="00583E01">
        <w:rPr>
          <w:rFonts w:ascii="Times New Roman" w:hAnsi="Times New Roman" w:cs="Times New Roman"/>
        </w:rPr>
        <w:t xml:space="preserve"> and </w:t>
      </w:r>
      <w:r>
        <w:rPr>
          <w:rFonts w:ascii="Times New Roman" w:hAnsi="Times New Roman" w:cs="Times New Roman"/>
        </w:rPr>
        <w:t>ash (</w:t>
      </w:r>
      <w:r w:rsidRPr="00583E01">
        <w:rPr>
          <w:rFonts w:ascii="Times New Roman" w:hAnsi="Times New Roman" w:cs="Times New Roman"/>
        </w:rPr>
        <w:t>ASH</w:t>
      </w:r>
      <w:r>
        <w:rPr>
          <w:rFonts w:ascii="Times New Roman" w:hAnsi="Times New Roman" w:cs="Times New Roman"/>
        </w:rPr>
        <w:t>)</w:t>
      </w:r>
      <w:r w:rsidRPr="00583E01">
        <w:rPr>
          <w:rFonts w:ascii="Times New Roman" w:hAnsi="Times New Roman" w:cs="Times New Roman"/>
        </w:rPr>
        <w:t xml:space="preserve"> plots</w:t>
      </w:r>
      <w:r>
        <w:rPr>
          <w:rFonts w:ascii="Times New Roman" w:hAnsi="Times New Roman" w:cs="Times New Roman"/>
        </w:rPr>
        <w:t>.</w:t>
      </w:r>
    </w:p>
    <w:p w14:paraId="0FEC267A" w14:textId="5202E453" w:rsidR="00E30C3C" w:rsidRDefault="00583E01" w:rsidP="00583E01">
      <w:pPr>
        <w:rPr>
          <w:rFonts w:ascii="Times New Roman" w:hAnsi="Times New Roman" w:cs="Times New Roman"/>
        </w:rPr>
      </w:pPr>
      <w:r>
        <w:rPr>
          <w:rFonts w:ascii="Times New Roman" w:hAnsi="Times New Roman" w:cs="Times New Roman"/>
        </w:rPr>
        <w:tab/>
      </w:r>
      <w:r w:rsidR="00E30C3C">
        <w:rPr>
          <w:rFonts w:ascii="Times New Roman" w:hAnsi="Times New Roman" w:cs="Times New Roman"/>
        </w:rPr>
        <w:t xml:space="preserve">Small mammal infestation was determined by the number of host-associated ticks taken off of mammals and the number of those ticks positive for Lyme disease. Table 1 shows the number of sampling events for each small mammal species and the number of those species captured that were infested with ticks. Table 1 also show the general range of the number of ticks that were collected off of each species. White-footed mice in the ash site had more ticks on them than any other species in the ash or hardwood site, even though there were more encounter events of white-footed mice in the hardwood site. Chipmunks were feeding a significant amount of ticks in the hardwood site but are completely absent in the ash, which is peculiar. Some small mammal individuals were more severely infested than others, one chipmunk accounted for 31% of all the host associated ticks collected in the hardwood </w:t>
      </w:r>
      <w:r w:rsidR="00DC749F">
        <w:rPr>
          <w:rFonts w:ascii="Times New Roman" w:hAnsi="Times New Roman" w:cs="Times New Roman"/>
        </w:rPr>
        <w:t>site and one white-</w:t>
      </w:r>
      <w:r w:rsidR="00E30C3C">
        <w:rPr>
          <w:rFonts w:ascii="Times New Roman" w:hAnsi="Times New Roman" w:cs="Times New Roman"/>
        </w:rPr>
        <w:t xml:space="preserve">footed mouse in the ash site accounted for 11% of all the host-associated ticks collected there. 73% (n=53) of the host-associated ticks in the ash site tested positive for Lyme and 62% (n=37) tested positive in the hardwood site. These results show that the ash site had more host-associated ticks collected than the hardwood site and a higher proportion of those ticks tested positive in the ash site than in the hardwood site. </w:t>
      </w:r>
    </w:p>
    <w:p w14:paraId="718CCAD8" w14:textId="77777777" w:rsidR="00E30C3C" w:rsidRDefault="00E30C3C" w:rsidP="00E30C3C">
      <w:pPr>
        <w:jc w:val="center"/>
        <w:rPr>
          <w:rFonts w:ascii="Times New Roman" w:hAnsi="Times New Roman" w:cs="Times New Roman"/>
        </w:rPr>
      </w:pPr>
      <w:r>
        <w:rPr>
          <w:noProof/>
          <w:lang w:eastAsia="en-US"/>
        </w:rPr>
        <w:drawing>
          <wp:inline distT="0" distB="0" distL="0" distR="0" wp14:anchorId="41028DCC" wp14:editId="1A06A0FB">
            <wp:extent cx="51149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114925" cy="1104900"/>
                    </a:xfrm>
                    <a:prstGeom prst="rect">
                      <a:avLst/>
                    </a:prstGeom>
                  </pic:spPr>
                </pic:pic>
              </a:graphicData>
            </a:graphic>
          </wp:inline>
        </w:drawing>
      </w:r>
    </w:p>
    <w:p w14:paraId="414EA6F9" w14:textId="77777777" w:rsidR="00E30C3C" w:rsidRPr="00583E01" w:rsidRDefault="00E30C3C" w:rsidP="00E30C3C">
      <w:pPr>
        <w:jc w:val="center"/>
        <w:rPr>
          <w:rFonts w:ascii="Times New Roman" w:hAnsi="Times New Roman" w:cs="Times New Roman"/>
        </w:rPr>
      </w:pPr>
      <w:r>
        <w:rPr>
          <w:rFonts w:ascii="Times New Roman" w:hAnsi="Times New Roman" w:cs="Times New Roman"/>
        </w:rPr>
        <w:t xml:space="preserve">Table 1. Small mammal infestation results in the HW and ASH plots. </w:t>
      </w:r>
    </w:p>
    <w:p w14:paraId="01686485" w14:textId="4D658C5F" w:rsidR="00583E01" w:rsidRPr="00E30C3C" w:rsidRDefault="00E30C3C" w:rsidP="00E30C3C">
      <w:pPr>
        <w:rPr>
          <w:rFonts w:ascii="Times New Roman" w:hAnsi="Times New Roman" w:cs="Times New Roman"/>
        </w:rPr>
      </w:pPr>
      <w:r>
        <w:rPr>
          <w:rFonts w:ascii="Times New Roman" w:hAnsi="Times New Roman" w:cs="Times New Roman"/>
        </w:rPr>
        <w:tab/>
        <w:t xml:space="preserve">Tables 2 and 3 shown below </w:t>
      </w:r>
      <w:r w:rsidR="00462276">
        <w:rPr>
          <w:rFonts w:ascii="Times New Roman" w:hAnsi="Times New Roman" w:cs="Times New Roman"/>
        </w:rPr>
        <w:t>describe</w:t>
      </w:r>
      <w:r>
        <w:rPr>
          <w:rFonts w:ascii="Times New Roman" w:hAnsi="Times New Roman" w:cs="Times New Roman"/>
        </w:rPr>
        <w:t xml:space="preserve"> results </w:t>
      </w:r>
      <w:r w:rsidR="00462276">
        <w:rPr>
          <w:rFonts w:ascii="Times New Roman" w:hAnsi="Times New Roman" w:cs="Times New Roman"/>
        </w:rPr>
        <w:t>from</w:t>
      </w:r>
      <w:r>
        <w:rPr>
          <w:rFonts w:ascii="Times New Roman" w:hAnsi="Times New Roman" w:cs="Times New Roman"/>
        </w:rPr>
        <w:t xml:space="preserve"> the Lyme disease risk assessments done at each site </w:t>
      </w:r>
      <w:r w:rsidR="00DC749F">
        <w:rPr>
          <w:rFonts w:ascii="Times New Roman" w:hAnsi="Times New Roman" w:cs="Times New Roman"/>
        </w:rPr>
        <w:t>(HW and ASH)</w:t>
      </w:r>
      <w:r>
        <w:rPr>
          <w:rFonts w:ascii="Times New Roman" w:hAnsi="Times New Roman" w:cs="Times New Roman"/>
        </w:rPr>
        <w:t xml:space="preserve">. Lyme disease risk is determined by multiplying the density of nymphs (DON) by the nymphal infection prevalence (NIP). Lyme disease risk </w:t>
      </w:r>
      <w:r w:rsidR="00462276">
        <w:rPr>
          <w:rFonts w:ascii="Times New Roman" w:hAnsi="Times New Roman" w:cs="Times New Roman"/>
        </w:rPr>
        <w:t>can be estimated using the</w:t>
      </w:r>
      <w:r>
        <w:rPr>
          <w:rFonts w:ascii="Times New Roman" w:hAnsi="Times New Roman" w:cs="Times New Roman"/>
        </w:rPr>
        <w:t xml:space="preserve"> density of infected risk (DIN) and is shown in Tables 2 and 3 surrounded by the red boxes. Nymphal questing ticks are used to quantify risk because they typically go unnoticed on a human’s body and are therefore most likely to </w:t>
      </w:r>
      <w:r w:rsidR="00DC749F">
        <w:rPr>
          <w:rFonts w:ascii="Times New Roman" w:hAnsi="Times New Roman" w:cs="Times New Roman"/>
        </w:rPr>
        <w:t>transmit</w:t>
      </w:r>
      <w:r>
        <w:rPr>
          <w:rFonts w:ascii="Times New Roman" w:hAnsi="Times New Roman" w:cs="Times New Roman"/>
        </w:rPr>
        <w:t xml:space="preserve"> Lyme (larva do not have Lyme disease until after their first blood meal and adults are typically large enough for humans to remove before infection). As shown in the tables, the ash site had a higher risk of Lyme disease (DIN) for both June and July, when the nymphal ticks are most active for questing. The hardwood site had a higher density of questing ticks in June and July when compared to the ash site (8 and 12/1000m</w:t>
      </w:r>
      <w:r>
        <w:rPr>
          <w:rFonts w:ascii="Times New Roman" w:hAnsi="Times New Roman" w:cs="Times New Roman"/>
          <w:vertAlign w:val="superscript"/>
        </w:rPr>
        <w:t>2</w:t>
      </w:r>
      <w:r w:rsidR="00DC749F">
        <w:rPr>
          <w:rFonts w:ascii="Times New Roman" w:hAnsi="Times New Roman" w:cs="Times New Roman"/>
        </w:rPr>
        <w:t xml:space="preserve"> in hardwood </w:t>
      </w:r>
      <w:r>
        <w:rPr>
          <w:rFonts w:ascii="Times New Roman" w:hAnsi="Times New Roman" w:cs="Times New Roman"/>
        </w:rPr>
        <w:t>vs. 7 and 5.5/1000m</w:t>
      </w:r>
      <w:r>
        <w:rPr>
          <w:rFonts w:ascii="Times New Roman" w:hAnsi="Times New Roman" w:cs="Times New Roman"/>
          <w:vertAlign w:val="superscript"/>
        </w:rPr>
        <w:t>2</w:t>
      </w:r>
      <w:r w:rsidR="00DC749F">
        <w:rPr>
          <w:rFonts w:ascii="Times New Roman" w:hAnsi="Times New Roman" w:cs="Times New Roman"/>
          <w:vertAlign w:val="superscript"/>
        </w:rPr>
        <w:t xml:space="preserve"> </w:t>
      </w:r>
      <w:r w:rsidR="00DC749F">
        <w:rPr>
          <w:rFonts w:ascii="Times New Roman" w:hAnsi="Times New Roman" w:cs="Times New Roman"/>
        </w:rPr>
        <w:t>in the ash</w:t>
      </w:r>
      <w:r>
        <w:rPr>
          <w:rFonts w:ascii="Times New Roman" w:hAnsi="Times New Roman" w:cs="Times New Roman"/>
        </w:rPr>
        <w:t xml:space="preserve">) but the ash site had a higher infection rate in both June and July compared to the hardwood site (71% and 55% positive in the ash vs. 50% and 21% in the hardwood). These results show that there is a higher risk of </w:t>
      </w:r>
      <w:r w:rsidR="00DC749F">
        <w:rPr>
          <w:rFonts w:ascii="Times New Roman" w:hAnsi="Times New Roman" w:cs="Times New Roman"/>
        </w:rPr>
        <w:t>contracting</w:t>
      </w:r>
      <w:r>
        <w:rPr>
          <w:rFonts w:ascii="Times New Roman" w:hAnsi="Times New Roman" w:cs="Times New Roman"/>
        </w:rPr>
        <w:t xml:space="preserve"> Lyme disease is the ash forest during nymphal questing peak months than the hardwood site. </w:t>
      </w:r>
    </w:p>
    <w:p w14:paraId="1CE4EF6D" w14:textId="77777777" w:rsidR="00583E01" w:rsidRDefault="00E30C3C" w:rsidP="00E30C3C">
      <w:pPr>
        <w:jc w:val="center"/>
        <w:rPr>
          <w:rFonts w:ascii="Times New Roman" w:hAnsi="Times New Roman" w:cs="Times New Roman"/>
          <w:b/>
        </w:rPr>
      </w:pPr>
      <w:r>
        <w:rPr>
          <w:noProof/>
          <w:lang w:eastAsia="en-US"/>
        </w:rPr>
        <w:drawing>
          <wp:inline distT="0" distB="0" distL="0" distR="0" wp14:anchorId="0B5A76CF" wp14:editId="288C8A77">
            <wp:extent cx="2571750" cy="103891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6251" cy="1040737"/>
                    </a:xfrm>
                    <a:prstGeom prst="rect">
                      <a:avLst/>
                    </a:prstGeom>
                  </pic:spPr>
                </pic:pic>
              </a:graphicData>
            </a:graphic>
          </wp:inline>
        </w:drawing>
      </w:r>
    </w:p>
    <w:p w14:paraId="15C1E96A" w14:textId="77777777" w:rsidR="00E30C3C" w:rsidRPr="00E30C3C" w:rsidRDefault="00E30C3C" w:rsidP="00E30C3C">
      <w:pPr>
        <w:jc w:val="center"/>
        <w:rPr>
          <w:rFonts w:ascii="Times New Roman" w:hAnsi="Times New Roman" w:cs="Times New Roman"/>
        </w:rPr>
      </w:pPr>
      <w:r w:rsidRPr="00E30C3C">
        <w:rPr>
          <w:rFonts w:ascii="Times New Roman" w:hAnsi="Times New Roman" w:cs="Times New Roman"/>
        </w:rPr>
        <w:t xml:space="preserve">Table </w:t>
      </w:r>
      <w:r>
        <w:rPr>
          <w:rFonts w:ascii="Times New Roman" w:hAnsi="Times New Roman" w:cs="Times New Roman"/>
        </w:rPr>
        <w:t>2</w:t>
      </w:r>
      <w:r w:rsidRPr="00E30C3C">
        <w:rPr>
          <w:rFonts w:ascii="Times New Roman" w:hAnsi="Times New Roman" w:cs="Times New Roman"/>
        </w:rPr>
        <w:t xml:space="preserve">. </w:t>
      </w:r>
      <w:r>
        <w:rPr>
          <w:rFonts w:ascii="Times New Roman" w:hAnsi="Times New Roman" w:cs="Times New Roman"/>
        </w:rPr>
        <w:t>Lyme disease risk</w:t>
      </w:r>
      <w:r w:rsidRPr="00E30C3C">
        <w:rPr>
          <w:rFonts w:ascii="Times New Roman" w:hAnsi="Times New Roman" w:cs="Times New Roman"/>
        </w:rPr>
        <w:t xml:space="preserve"> results from the June flagging session in the HW and ASH</w:t>
      </w:r>
    </w:p>
    <w:p w14:paraId="4B244B0E" w14:textId="77777777" w:rsidR="00E30C3C" w:rsidRDefault="00E30C3C" w:rsidP="00E30C3C">
      <w:pPr>
        <w:jc w:val="center"/>
        <w:rPr>
          <w:rFonts w:ascii="Times New Roman" w:hAnsi="Times New Roman" w:cs="Times New Roman"/>
          <w:b/>
        </w:rPr>
      </w:pPr>
      <w:r>
        <w:rPr>
          <w:noProof/>
          <w:lang w:eastAsia="en-US"/>
        </w:rPr>
        <w:drawing>
          <wp:inline distT="0" distB="0" distL="0" distR="0" wp14:anchorId="32A8B19A" wp14:editId="0CB22788">
            <wp:extent cx="2562225" cy="993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2173" cy="1000907"/>
                    </a:xfrm>
                    <a:prstGeom prst="rect">
                      <a:avLst/>
                    </a:prstGeom>
                  </pic:spPr>
                </pic:pic>
              </a:graphicData>
            </a:graphic>
          </wp:inline>
        </w:drawing>
      </w:r>
    </w:p>
    <w:p w14:paraId="4A603B7A" w14:textId="77777777" w:rsidR="00E30C3C" w:rsidRPr="00E30C3C" w:rsidRDefault="00E30C3C" w:rsidP="00E30C3C">
      <w:pPr>
        <w:jc w:val="center"/>
        <w:rPr>
          <w:rFonts w:ascii="Times New Roman" w:hAnsi="Times New Roman" w:cs="Times New Roman"/>
        </w:rPr>
      </w:pPr>
      <w:r>
        <w:rPr>
          <w:rFonts w:ascii="Times New Roman" w:hAnsi="Times New Roman" w:cs="Times New Roman"/>
        </w:rPr>
        <w:t>Table 3</w:t>
      </w:r>
      <w:r w:rsidRPr="00E30C3C">
        <w:rPr>
          <w:rFonts w:ascii="Times New Roman" w:hAnsi="Times New Roman" w:cs="Times New Roman"/>
        </w:rPr>
        <w:t xml:space="preserve">. </w:t>
      </w:r>
      <w:r>
        <w:rPr>
          <w:rFonts w:ascii="Times New Roman" w:hAnsi="Times New Roman" w:cs="Times New Roman"/>
        </w:rPr>
        <w:t xml:space="preserve">Lyme disease risk </w:t>
      </w:r>
      <w:r w:rsidRPr="00E30C3C">
        <w:rPr>
          <w:rFonts w:ascii="Times New Roman" w:hAnsi="Times New Roman" w:cs="Times New Roman"/>
        </w:rPr>
        <w:t>results from July flag</w:t>
      </w:r>
      <w:r>
        <w:rPr>
          <w:rFonts w:ascii="Times New Roman" w:hAnsi="Times New Roman" w:cs="Times New Roman"/>
        </w:rPr>
        <w:t>ging sessions in the HW and ASH.</w:t>
      </w:r>
    </w:p>
    <w:p w14:paraId="68D6A251" w14:textId="77777777" w:rsidR="00E30C3C" w:rsidRPr="00CD0E58" w:rsidRDefault="00E30C3C" w:rsidP="00E30C3C">
      <w:pPr>
        <w:jc w:val="center"/>
        <w:rPr>
          <w:rFonts w:ascii="Times New Roman" w:hAnsi="Times New Roman" w:cs="Times New Roman"/>
          <w:b/>
        </w:rPr>
      </w:pPr>
    </w:p>
    <w:p w14:paraId="0D1DE5F4" w14:textId="77777777" w:rsidR="00583E01" w:rsidRDefault="00583E01">
      <w:pPr>
        <w:rPr>
          <w:rFonts w:ascii="Times New Roman" w:hAnsi="Times New Roman" w:cs="Times New Roman"/>
          <w:b/>
        </w:rPr>
      </w:pPr>
    </w:p>
    <w:p w14:paraId="07D4D7D7" w14:textId="098E9402" w:rsidR="00DC4FCC" w:rsidRDefault="00CD0E58">
      <w:pPr>
        <w:rPr>
          <w:rFonts w:ascii="Times New Roman" w:hAnsi="Times New Roman" w:cs="Times New Roman"/>
          <w:b/>
        </w:rPr>
      </w:pPr>
      <w:r w:rsidRPr="00CD0E58">
        <w:rPr>
          <w:rFonts w:ascii="Times New Roman" w:hAnsi="Times New Roman" w:cs="Times New Roman"/>
          <w:b/>
        </w:rPr>
        <w:t>Future Work</w:t>
      </w:r>
    </w:p>
    <w:p w14:paraId="0B68F7AD" w14:textId="77777777" w:rsidR="00DC4FCC" w:rsidRPr="00DC4FCC" w:rsidRDefault="00DC4FCC">
      <w:pPr>
        <w:rPr>
          <w:rFonts w:ascii="Times New Roman" w:hAnsi="Times New Roman" w:cs="Times New Roman"/>
        </w:rPr>
      </w:pPr>
      <w:r>
        <w:rPr>
          <w:rFonts w:ascii="Times New Roman" w:hAnsi="Times New Roman" w:cs="Times New Roman"/>
          <w:b/>
        </w:rPr>
        <w:tab/>
      </w:r>
      <w:r>
        <w:rPr>
          <w:rFonts w:ascii="Times New Roman" w:hAnsi="Times New Roman" w:cs="Times New Roman"/>
        </w:rPr>
        <w:t>In the coming year I hope to determine the different strains of Lyme disease present in both sites. This knowledge will help to determine what landscape characteristics might influence the presence of HIS. I also hope to complete another abbreviated field season in Overlook</w:t>
      </w:r>
      <w:r w:rsidR="00DC749F">
        <w:rPr>
          <w:rFonts w:ascii="Times New Roman" w:hAnsi="Times New Roman" w:cs="Times New Roman"/>
        </w:rPr>
        <w:t xml:space="preserve"> for the summer of 2020 to </w:t>
      </w:r>
      <w:r>
        <w:rPr>
          <w:rFonts w:ascii="Times New Roman" w:hAnsi="Times New Roman" w:cs="Times New Roman"/>
        </w:rPr>
        <w:t>gather more data to further support conclusions I will make. I hope to determine the small mammal abundance numbers in each forest plot using different population parameter models in order to definitively know the difference in small mammal communities between the sites. I also hope to model ecological factors that may help explain the differences in ticks and small mammal abundance and infection between the two forest plots.</w:t>
      </w:r>
    </w:p>
    <w:p w14:paraId="54F24D89" w14:textId="77777777" w:rsidR="00CD0E58" w:rsidRPr="00CD0E58" w:rsidRDefault="00CD0E58">
      <w:pPr>
        <w:rPr>
          <w:rFonts w:ascii="Times New Roman" w:hAnsi="Times New Roman" w:cs="Times New Roman"/>
          <w:b/>
        </w:rPr>
      </w:pPr>
    </w:p>
    <w:p w14:paraId="74DB6C28" w14:textId="6D69A93E" w:rsidR="00DC4FCC" w:rsidRDefault="00CD0E58">
      <w:pPr>
        <w:rPr>
          <w:rFonts w:ascii="Times New Roman" w:hAnsi="Times New Roman" w:cs="Times New Roman"/>
          <w:b/>
        </w:rPr>
      </w:pPr>
      <w:r w:rsidRPr="00CD0E58">
        <w:rPr>
          <w:rFonts w:ascii="Times New Roman" w:hAnsi="Times New Roman" w:cs="Times New Roman"/>
          <w:b/>
        </w:rPr>
        <w:t>Acknowledgements</w:t>
      </w:r>
    </w:p>
    <w:p w14:paraId="20D136FD" w14:textId="77777777" w:rsidR="00DC4FCC" w:rsidRPr="00DC4FCC" w:rsidRDefault="00DC4FCC">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I would like to thank my advisor, Dr. Brian Leydet, for generously sharing his expertise and extensive knowledge of Lyme disease and leading me in the execution of this project. I would like to thank Sam Quinn for </w:t>
      </w:r>
      <w:r w:rsidR="008109B3">
        <w:rPr>
          <w:rFonts w:ascii="Times New Roman" w:hAnsi="Times New Roman" w:cs="Times New Roman"/>
        </w:rPr>
        <w:t xml:space="preserve">his major contributions to this study in the form of advice and a helping hand. I would also like to thank Sarah </w:t>
      </w:r>
      <w:proofErr w:type="spellStart"/>
      <w:r w:rsidR="008109B3">
        <w:rPr>
          <w:rFonts w:ascii="Times New Roman" w:hAnsi="Times New Roman" w:cs="Times New Roman"/>
        </w:rPr>
        <w:t>Lanthier</w:t>
      </w:r>
      <w:proofErr w:type="spellEnd"/>
      <w:r w:rsidR="008109B3">
        <w:rPr>
          <w:rFonts w:ascii="Times New Roman" w:hAnsi="Times New Roman" w:cs="Times New Roman"/>
        </w:rPr>
        <w:t xml:space="preserve"> and Rachel Lange for helping me to conduct small mammal trapping and tick collection events. I want to thank the owners and managers of the Overlook Property for allowing me to live and work on their property throughout the summer. Lastly, I want to extend my deepest gratitude for the support awarded to me by the Edna Bailey </w:t>
      </w:r>
      <w:proofErr w:type="spellStart"/>
      <w:r w:rsidR="008109B3">
        <w:rPr>
          <w:rFonts w:ascii="Times New Roman" w:hAnsi="Times New Roman" w:cs="Times New Roman"/>
        </w:rPr>
        <w:t>Sussman</w:t>
      </w:r>
      <w:proofErr w:type="spellEnd"/>
      <w:r w:rsidR="008109B3">
        <w:rPr>
          <w:rFonts w:ascii="Times New Roman" w:hAnsi="Times New Roman" w:cs="Times New Roman"/>
        </w:rPr>
        <w:t xml:space="preserve"> Foundation</w:t>
      </w:r>
      <w:r w:rsidR="00795081">
        <w:rPr>
          <w:rFonts w:ascii="Times New Roman" w:hAnsi="Times New Roman" w:cs="Times New Roman"/>
        </w:rPr>
        <w:t xml:space="preserve"> and Board members</w:t>
      </w:r>
      <w:r w:rsidR="008109B3">
        <w:rPr>
          <w:rFonts w:ascii="Times New Roman" w:hAnsi="Times New Roman" w:cs="Times New Roman"/>
        </w:rPr>
        <w:t xml:space="preserve">, without which this study would not have been possible. </w:t>
      </w:r>
    </w:p>
    <w:p w14:paraId="15375683" w14:textId="77777777" w:rsidR="00CD0E58" w:rsidRPr="00CD0E58" w:rsidRDefault="00CD0E58">
      <w:pPr>
        <w:rPr>
          <w:rFonts w:ascii="Times New Roman" w:hAnsi="Times New Roman" w:cs="Times New Roman"/>
          <w:b/>
        </w:rPr>
      </w:pPr>
    </w:p>
    <w:p w14:paraId="72790106" w14:textId="1A84A2E3" w:rsidR="00795081" w:rsidRPr="00EA6DBF" w:rsidRDefault="00CD0E58" w:rsidP="00795081">
      <w:pPr>
        <w:rPr>
          <w:rFonts w:ascii="Times New Roman" w:hAnsi="Times New Roman" w:cs="Times New Roman"/>
          <w:b/>
        </w:rPr>
      </w:pPr>
      <w:r w:rsidRPr="00CD0E58">
        <w:rPr>
          <w:rFonts w:ascii="Times New Roman" w:hAnsi="Times New Roman" w:cs="Times New Roman"/>
          <w:b/>
        </w:rPr>
        <w:t>Literature Cited</w:t>
      </w:r>
    </w:p>
    <w:p w14:paraId="272925F0" w14:textId="77777777" w:rsidR="00795081" w:rsidRDefault="00795081" w:rsidP="00795081">
      <w:pPr>
        <w:rPr>
          <w:rFonts w:ascii="Times New Roman" w:hAnsi="Times New Roman" w:cs="Times New Roman"/>
        </w:rPr>
      </w:pPr>
      <w:r>
        <w:rPr>
          <w:rFonts w:ascii="Times New Roman" w:hAnsi="Times New Roman" w:cs="Times New Roman"/>
        </w:rPr>
        <w:t xml:space="preserve">Bergstrom, B.J., </w:t>
      </w:r>
      <w:proofErr w:type="spellStart"/>
      <w:r>
        <w:rPr>
          <w:rFonts w:ascii="Times New Roman" w:hAnsi="Times New Roman" w:cs="Times New Roman"/>
        </w:rPr>
        <w:t>Sensenig</w:t>
      </w:r>
      <w:proofErr w:type="spellEnd"/>
      <w:r>
        <w:rPr>
          <w:rFonts w:ascii="Times New Roman" w:hAnsi="Times New Roman" w:cs="Times New Roman"/>
        </w:rPr>
        <w:t xml:space="preserve">, R.L., Augustine, D.J., &amp; Young, T.P. (2018). Searching for cover: </w:t>
      </w:r>
    </w:p>
    <w:p w14:paraId="70A12B3F" w14:textId="77777777" w:rsidR="00795081" w:rsidRDefault="00795081" w:rsidP="00795081">
      <w:pPr>
        <w:ind w:left="720"/>
        <w:rPr>
          <w:rFonts w:ascii="Times New Roman" w:hAnsi="Times New Roman" w:cs="Times New Roman"/>
        </w:rPr>
      </w:pPr>
      <w:proofErr w:type="gramStart"/>
      <w:r>
        <w:rPr>
          <w:rFonts w:ascii="Times New Roman" w:hAnsi="Times New Roman" w:cs="Times New Roman"/>
        </w:rPr>
        <w:t>soil</w:t>
      </w:r>
      <w:proofErr w:type="gramEnd"/>
      <w:r>
        <w:rPr>
          <w:rFonts w:ascii="Times New Roman" w:hAnsi="Times New Roman" w:cs="Times New Roman"/>
        </w:rPr>
        <w:t xml:space="preserve"> enrichment and herbivore exclusion, not fire, enhance African savanna small-mammal abundance. </w:t>
      </w:r>
      <w:r>
        <w:rPr>
          <w:rFonts w:ascii="Times New Roman" w:hAnsi="Times New Roman" w:cs="Times New Roman"/>
          <w:i/>
        </w:rPr>
        <w:t>Ecosphere, 9</w:t>
      </w:r>
      <w:r>
        <w:rPr>
          <w:rFonts w:ascii="Times New Roman" w:hAnsi="Times New Roman" w:cs="Times New Roman"/>
        </w:rPr>
        <w:t xml:space="preserve">(11), 1-22. </w:t>
      </w:r>
      <w:hyperlink r:id="rId9" w:history="1">
        <w:r w:rsidRPr="00505758">
          <w:rPr>
            <w:rStyle w:val="Hyperlink"/>
            <w:rFonts w:ascii="Times New Roman" w:hAnsi="Times New Roman" w:cs="Times New Roman"/>
          </w:rPr>
          <w:t>https://doi.org/10.1002/ecs2.2519</w:t>
        </w:r>
      </w:hyperlink>
      <w:r>
        <w:rPr>
          <w:rFonts w:ascii="Times New Roman" w:hAnsi="Times New Roman" w:cs="Times New Roman"/>
        </w:rPr>
        <w:t xml:space="preserve">  </w:t>
      </w:r>
    </w:p>
    <w:p w14:paraId="7204FF87" w14:textId="77777777" w:rsidR="00795081" w:rsidRDefault="00795081" w:rsidP="00795081">
      <w:pPr>
        <w:rPr>
          <w:rFonts w:ascii="Times New Roman" w:hAnsi="Times New Roman" w:cs="Times New Roman"/>
        </w:rPr>
      </w:pPr>
      <w:proofErr w:type="spellStart"/>
      <w:r>
        <w:rPr>
          <w:rFonts w:ascii="Times New Roman" w:hAnsi="Times New Roman" w:cs="Times New Roman"/>
        </w:rPr>
        <w:t>Earnhart</w:t>
      </w:r>
      <w:proofErr w:type="spellEnd"/>
      <w:r>
        <w:rPr>
          <w:rFonts w:ascii="Times New Roman" w:hAnsi="Times New Roman" w:cs="Times New Roman"/>
        </w:rPr>
        <w:t xml:space="preserve">, C.G., Buckles, E.L., </w:t>
      </w:r>
      <w:proofErr w:type="spellStart"/>
      <w:r>
        <w:rPr>
          <w:rFonts w:ascii="Times New Roman" w:hAnsi="Times New Roman" w:cs="Times New Roman"/>
        </w:rPr>
        <w:t>Dumler</w:t>
      </w:r>
      <w:proofErr w:type="spellEnd"/>
      <w:r>
        <w:rPr>
          <w:rFonts w:ascii="Times New Roman" w:hAnsi="Times New Roman" w:cs="Times New Roman"/>
        </w:rPr>
        <w:t xml:space="preserve">, J.S., &amp; Marconi, R.T. (2005). Demonstration of </w:t>
      </w:r>
      <w:proofErr w:type="spellStart"/>
      <w:r>
        <w:rPr>
          <w:rFonts w:ascii="Times New Roman" w:hAnsi="Times New Roman" w:cs="Times New Roman"/>
        </w:rPr>
        <w:t>ospC</w:t>
      </w:r>
      <w:proofErr w:type="spellEnd"/>
      <w:r>
        <w:rPr>
          <w:rFonts w:ascii="Times New Roman" w:hAnsi="Times New Roman" w:cs="Times New Roman"/>
        </w:rPr>
        <w:t xml:space="preserve"> </w:t>
      </w:r>
    </w:p>
    <w:p w14:paraId="44CBD0C2" w14:textId="77777777" w:rsidR="00795081" w:rsidRDefault="00795081" w:rsidP="00795081">
      <w:pPr>
        <w:ind w:left="720"/>
        <w:rPr>
          <w:rFonts w:ascii="Times New Roman" w:hAnsi="Times New Roman" w:cs="Times New Roman"/>
        </w:rPr>
      </w:pPr>
      <w:proofErr w:type="gramStart"/>
      <w:r>
        <w:rPr>
          <w:rFonts w:ascii="Times New Roman" w:hAnsi="Times New Roman" w:cs="Times New Roman"/>
        </w:rPr>
        <w:t>type</w:t>
      </w:r>
      <w:proofErr w:type="gramEnd"/>
      <w:r>
        <w:rPr>
          <w:rFonts w:ascii="Times New Roman" w:hAnsi="Times New Roman" w:cs="Times New Roman"/>
        </w:rPr>
        <w:t xml:space="preserve"> diversity in invasive human Lyme disease isolates and identification of previously uncharacterized epitopes that define the specificity of the </w:t>
      </w:r>
      <w:proofErr w:type="spellStart"/>
      <w:r>
        <w:rPr>
          <w:rFonts w:ascii="Times New Roman" w:hAnsi="Times New Roman" w:cs="Times New Roman"/>
        </w:rPr>
        <w:t>ospC</w:t>
      </w:r>
      <w:proofErr w:type="spellEnd"/>
      <w:r>
        <w:rPr>
          <w:rFonts w:ascii="Times New Roman" w:hAnsi="Times New Roman" w:cs="Times New Roman"/>
        </w:rPr>
        <w:t xml:space="preserve"> murine antibody response. (2005). </w:t>
      </w:r>
      <w:r>
        <w:rPr>
          <w:rFonts w:ascii="Times New Roman" w:hAnsi="Times New Roman" w:cs="Times New Roman"/>
          <w:i/>
        </w:rPr>
        <w:t>Infection and Immunity, 73</w:t>
      </w:r>
      <w:r>
        <w:rPr>
          <w:rFonts w:ascii="Times New Roman" w:hAnsi="Times New Roman" w:cs="Times New Roman"/>
        </w:rPr>
        <w:t xml:space="preserve">(12), 7869-7877. </w:t>
      </w:r>
      <w:hyperlink r:id="rId10" w:history="1">
        <w:r w:rsidRPr="003122BA">
          <w:rPr>
            <w:rStyle w:val="Hyperlink"/>
            <w:rFonts w:ascii="Times New Roman" w:hAnsi="Times New Roman" w:cs="Times New Roman"/>
          </w:rPr>
          <w:t>https://doi.org/10.1128/IAI.73.12.7869-7877.2005</w:t>
        </w:r>
      </w:hyperlink>
      <w:r>
        <w:rPr>
          <w:rFonts w:ascii="Times New Roman" w:hAnsi="Times New Roman" w:cs="Times New Roman"/>
        </w:rPr>
        <w:t xml:space="preserve"> </w:t>
      </w:r>
    </w:p>
    <w:p w14:paraId="5A147FE9" w14:textId="77777777" w:rsidR="00795081" w:rsidRDefault="00795081" w:rsidP="00795081">
      <w:pPr>
        <w:rPr>
          <w:rFonts w:ascii="Times New Roman" w:hAnsi="Times New Roman" w:cs="Times New Roman"/>
        </w:rPr>
      </w:pPr>
      <w:proofErr w:type="spellStart"/>
      <w:r>
        <w:rPr>
          <w:rFonts w:ascii="Times New Roman" w:hAnsi="Times New Roman" w:cs="Times New Roman"/>
        </w:rPr>
        <w:t>Millins</w:t>
      </w:r>
      <w:proofErr w:type="spellEnd"/>
      <w:r>
        <w:rPr>
          <w:rFonts w:ascii="Times New Roman" w:hAnsi="Times New Roman" w:cs="Times New Roman"/>
        </w:rPr>
        <w:t xml:space="preserve">, C., Gilbert, L., Medlock, J., Hansford, K., Thompson, D., &amp; </w:t>
      </w:r>
      <w:proofErr w:type="spellStart"/>
      <w:r>
        <w:rPr>
          <w:rFonts w:ascii="Times New Roman" w:hAnsi="Times New Roman" w:cs="Times New Roman"/>
        </w:rPr>
        <w:t>Biek</w:t>
      </w:r>
      <w:proofErr w:type="spellEnd"/>
      <w:r>
        <w:rPr>
          <w:rFonts w:ascii="Times New Roman" w:hAnsi="Times New Roman" w:cs="Times New Roman"/>
        </w:rPr>
        <w:t xml:space="preserve">, R. (2016). Effects of </w:t>
      </w:r>
    </w:p>
    <w:p w14:paraId="5F7BFAE3" w14:textId="77777777" w:rsidR="00795081" w:rsidRPr="00643A92" w:rsidRDefault="00795081" w:rsidP="00795081">
      <w:pPr>
        <w:ind w:left="720"/>
        <w:rPr>
          <w:rFonts w:ascii="Times New Roman" w:hAnsi="Times New Roman" w:cs="Times New Roman"/>
        </w:rPr>
      </w:pPr>
      <w:proofErr w:type="gramStart"/>
      <w:r>
        <w:rPr>
          <w:rFonts w:ascii="Times New Roman" w:hAnsi="Times New Roman" w:cs="Times New Roman"/>
        </w:rPr>
        <w:t>conservation</w:t>
      </w:r>
      <w:proofErr w:type="gramEnd"/>
      <w:r>
        <w:rPr>
          <w:rFonts w:ascii="Times New Roman" w:hAnsi="Times New Roman" w:cs="Times New Roman"/>
        </w:rPr>
        <w:t xml:space="preserve"> management of landscapes and vertebrate communities on Lyme </w:t>
      </w:r>
      <w:proofErr w:type="spellStart"/>
      <w:r>
        <w:rPr>
          <w:rFonts w:ascii="Times New Roman" w:hAnsi="Times New Roman" w:cs="Times New Roman"/>
        </w:rPr>
        <w:t>borreliosis</w:t>
      </w:r>
      <w:proofErr w:type="spellEnd"/>
      <w:r>
        <w:rPr>
          <w:rFonts w:ascii="Times New Roman" w:hAnsi="Times New Roman" w:cs="Times New Roman"/>
        </w:rPr>
        <w:t xml:space="preserve"> risk in the United Kingdom. </w:t>
      </w:r>
      <w:r>
        <w:rPr>
          <w:rFonts w:ascii="Times New Roman" w:hAnsi="Times New Roman" w:cs="Times New Roman"/>
          <w:i/>
        </w:rPr>
        <w:t xml:space="preserve">Phil. Trans. R. Soc. B, 272, </w:t>
      </w:r>
      <w:r>
        <w:rPr>
          <w:rFonts w:ascii="Times New Roman" w:hAnsi="Times New Roman" w:cs="Times New Roman"/>
        </w:rPr>
        <w:t xml:space="preserve">1-12. </w:t>
      </w:r>
      <w:hyperlink r:id="rId11" w:history="1">
        <w:r w:rsidRPr="003122BA">
          <w:rPr>
            <w:rStyle w:val="Hyperlink"/>
            <w:rFonts w:ascii="Times New Roman" w:hAnsi="Times New Roman" w:cs="Times New Roman"/>
          </w:rPr>
          <w:t>https://doi.org/10.1098/rstb.2016.0123</w:t>
        </w:r>
      </w:hyperlink>
      <w:r>
        <w:rPr>
          <w:rFonts w:ascii="Times New Roman" w:hAnsi="Times New Roman" w:cs="Times New Roman"/>
        </w:rPr>
        <w:t xml:space="preserve"> </w:t>
      </w:r>
    </w:p>
    <w:p w14:paraId="3254D039" w14:textId="77777777" w:rsidR="00795081" w:rsidRDefault="00131CE4" w:rsidP="00795081">
      <w:pPr>
        <w:rPr>
          <w:rFonts w:ascii="Times New Roman" w:hAnsi="Times New Roman" w:cs="Times New Roman"/>
        </w:rPr>
      </w:pPr>
      <w:proofErr w:type="spellStart"/>
      <w:r w:rsidRPr="00795081">
        <w:rPr>
          <w:rFonts w:ascii="Times New Roman" w:hAnsi="Times New Roman" w:cs="Times New Roman"/>
        </w:rPr>
        <w:t>Ostfeld</w:t>
      </w:r>
      <w:proofErr w:type="spellEnd"/>
      <w:r w:rsidRPr="00795081">
        <w:rPr>
          <w:rFonts w:ascii="Times New Roman" w:hAnsi="Times New Roman" w:cs="Times New Roman"/>
        </w:rPr>
        <w:t xml:space="preserve">, R. S., Levi, T., </w:t>
      </w:r>
      <w:proofErr w:type="spellStart"/>
      <w:r w:rsidRPr="00795081">
        <w:rPr>
          <w:rFonts w:ascii="Times New Roman" w:hAnsi="Times New Roman" w:cs="Times New Roman"/>
        </w:rPr>
        <w:t>Keesing</w:t>
      </w:r>
      <w:proofErr w:type="spellEnd"/>
      <w:r w:rsidRPr="00795081">
        <w:rPr>
          <w:rFonts w:ascii="Times New Roman" w:hAnsi="Times New Roman" w:cs="Times New Roman"/>
        </w:rPr>
        <w:t xml:space="preserve">, F., </w:t>
      </w:r>
      <w:proofErr w:type="spellStart"/>
      <w:r w:rsidRPr="00795081">
        <w:rPr>
          <w:rFonts w:ascii="Times New Roman" w:hAnsi="Times New Roman" w:cs="Times New Roman"/>
        </w:rPr>
        <w:t>Oggenfuss</w:t>
      </w:r>
      <w:proofErr w:type="spellEnd"/>
      <w:r w:rsidRPr="00795081">
        <w:rPr>
          <w:rFonts w:ascii="Times New Roman" w:hAnsi="Times New Roman" w:cs="Times New Roman"/>
        </w:rPr>
        <w:t xml:space="preserve">, K., &amp; </w:t>
      </w:r>
      <w:proofErr w:type="spellStart"/>
      <w:r w:rsidRPr="00795081">
        <w:rPr>
          <w:rFonts w:ascii="Times New Roman" w:hAnsi="Times New Roman" w:cs="Times New Roman"/>
        </w:rPr>
        <w:t>Canham</w:t>
      </w:r>
      <w:proofErr w:type="spellEnd"/>
      <w:r w:rsidRPr="00795081">
        <w:rPr>
          <w:rFonts w:ascii="Times New Roman" w:hAnsi="Times New Roman" w:cs="Times New Roman"/>
        </w:rPr>
        <w:t>, C. D. (2018). Tick</w:t>
      </w:r>
      <w:r w:rsidRPr="00795081">
        <w:rPr>
          <w:rFonts w:ascii="Cambria Math" w:hAnsi="Cambria Math" w:cs="Cambria Math"/>
        </w:rPr>
        <w:t>‐</w:t>
      </w:r>
      <w:r w:rsidRPr="00795081">
        <w:rPr>
          <w:rFonts w:ascii="Times New Roman" w:hAnsi="Times New Roman" w:cs="Times New Roman"/>
        </w:rPr>
        <w:t xml:space="preserve">borne disease </w:t>
      </w:r>
    </w:p>
    <w:p w14:paraId="7AC4FAE9" w14:textId="77777777" w:rsidR="00795081" w:rsidRDefault="00131CE4" w:rsidP="00795081">
      <w:pPr>
        <w:ind w:firstLine="720"/>
        <w:rPr>
          <w:rFonts w:ascii="Times New Roman" w:hAnsi="Times New Roman" w:cs="Times New Roman"/>
        </w:rPr>
      </w:pPr>
      <w:proofErr w:type="gramStart"/>
      <w:r w:rsidRPr="00795081">
        <w:rPr>
          <w:rFonts w:ascii="Times New Roman" w:hAnsi="Times New Roman" w:cs="Times New Roman"/>
        </w:rPr>
        <w:t>risk</w:t>
      </w:r>
      <w:proofErr w:type="gramEnd"/>
      <w:r w:rsidRPr="00795081">
        <w:rPr>
          <w:rFonts w:ascii="Times New Roman" w:hAnsi="Times New Roman" w:cs="Times New Roman"/>
        </w:rPr>
        <w:t xml:space="preserve"> in a forest food web. </w:t>
      </w:r>
      <w:r w:rsidRPr="00795081">
        <w:rPr>
          <w:rFonts w:ascii="Times New Roman" w:hAnsi="Times New Roman" w:cs="Times New Roman"/>
          <w:i/>
          <w:iCs/>
        </w:rPr>
        <w:t>Ecology</w:t>
      </w:r>
      <w:r w:rsidRPr="00795081">
        <w:rPr>
          <w:rFonts w:ascii="Times New Roman" w:hAnsi="Times New Roman" w:cs="Times New Roman"/>
        </w:rPr>
        <w:t xml:space="preserve">, </w:t>
      </w:r>
      <w:r w:rsidRPr="00795081">
        <w:rPr>
          <w:rFonts w:ascii="Times New Roman" w:hAnsi="Times New Roman" w:cs="Times New Roman"/>
          <w:i/>
          <w:iCs/>
        </w:rPr>
        <w:t>99</w:t>
      </w:r>
      <w:r w:rsidRPr="00795081">
        <w:rPr>
          <w:rFonts w:ascii="Times New Roman" w:hAnsi="Times New Roman" w:cs="Times New Roman"/>
        </w:rPr>
        <w:t xml:space="preserve">(7), 1562–1573. </w:t>
      </w:r>
    </w:p>
    <w:p w14:paraId="71DAC589" w14:textId="77777777" w:rsidR="00795081" w:rsidRPr="00795081" w:rsidRDefault="001A3375" w:rsidP="00795081">
      <w:pPr>
        <w:ind w:firstLine="720"/>
        <w:rPr>
          <w:rFonts w:ascii="Times New Roman" w:hAnsi="Times New Roman" w:cs="Times New Roman"/>
        </w:rPr>
      </w:pPr>
      <w:hyperlink r:id="rId12" w:history="1">
        <w:r w:rsidR="00795081" w:rsidRPr="00303063">
          <w:rPr>
            <w:rStyle w:val="Hyperlink"/>
            <w:rFonts w:ascii="Times New Roman" w:hAnsi="Times New Roman" w:cs="Times New Roman"/>
          </w:rPr>
          <w:t>https://doi.org/10.1002/ecy.2386</w:t>
        </w:r>
      </w:hyperlink>
      <w:r w:rsidR="00795081">
        <w:rPr>
          <w:rFonts w:ascii="Times New Roman" w:hAnsi="Times New Roman" w:cs="Times New Roman"/>
        </w:rPr>
        <w:t xml:space="preserve"> </w:t>
      </w:r>
    </w:p>
    <w:p w14:paraId="70D91393" w14:textId="77777777" w:rsidR="00795081" w:rsidRDefault="00795081" w:rsidP="00795081">
      <w:pPr>
        <w:rPr>
          <w:rFonts w:ascii="Times New Roman" w:hAnsi="Times New Roman" w:cs="Times New Roman"/>
        </w:rPr>
      </w:pPr>
      <w:proofErr w:type="spellStart"/>
      <w:r>
        <w:rPr>
          <w:rFonts w:ascii="Times New Roman" w:hAnsi="Times New Roman" w:cs="Times New Roman"/>
        </w:rPr>
        <w:t>Radolf</w:t>
      </w:r>
      <w:proofErr w:type="spellEnd"/>
      <w:r>
        <w:rPr>
          <w:rFonts w:ascii="Times New Roman" w:hAnsi="Times New Roman" w:cs="Times New Roman"/>
        </w:rPr>
        <w:t xml:space="preserve">, J.D., </w:t>
      </w:r>
      <w:proofErr w:type="spellStart"/>
      <w:r>
        <w:rPr>
          <w:rFonts w:ascii="Times New Roman" w:hAnsi="Times New Roman" w:cs="Times New Roman"/>
        </w:rPr>
        <w:t>Caimano</w:t>
      </w:r>
      <w:proofErr w:type="spellEnd"/>
      <w:r>
        <w:rPr>
          <w:rFonts w:ascii="Times New Roman" w:hAnsi="Times New Roman" w:cs="Times New Roman"/>
        </w:rPr>
        <w:t xml:space="preserve">, M.J., Stevenson, B., &amp; Hu, L.T. (2012). Of ticks, mice and men: </w:t>
      </w:r>
    </w:p>
    <w:p w14:paraId="52D0E384" w14:textId="77777777" w:rsidR="00795081" w:rsidRDefault="00795081" w:rsidP="00795081">
      <w:pPr>
        <w:ind w:left="720"/>
        <w:rPr>
          <w:rFonts w:ascii="Times New Roman" w:hAnsi="Times New Roman" w:cs="Times New Roman"/>
        </w:rPr>
      </w:pPr>
      <w:proofErr w:type="gramStart"/>
      <w:r>
        <w:rPr>
          <w:rFonts w:ascii="Times New Roman" w:hAnsi="Times New Roman" w:cs="Times New Roman"/>
        </w:rPr>
        <w:t>understanding</w:t>
      </w:r>
      <w:proofErr w:type="gramEnd"/>
      <w:r>
        <w:rPr>
          <w:rFonts w:ascii="Times New Roman" w:hAnsi="Times New Roman" w:cs="Times New Roman"/>
        </w:rPr>
        <w:t xml:space="preserve"> the dual-host lifestyle of Lyme disease </w:t>
      </w:r>
      <w:proofErr w:type="spellStart"/>
      <w:r>
        <w:rPr>
          <w:rFonts w:ascii="Times New Roman" w:hAnsi="Times New Roman" w:cs="Times New Roman"/>
        </w:rPr>
        <w:t>spirochaetes</w:t>
      </w:r>
      <w:proofErr w:type="spellEnd"/>
      <w:r>
        <w:rPr>
          <w:rFonts w:ascii="Times New Roman" w:hAnsi="Times New Roman" w:cs="Times New Roman"/>
        </w:rPr>
        <w:t xml:space="preserve">. </w:t>
      </w:r>
      <w:r>
        <w:rPr>
          <w:rFonts w:ascii="Times New Roman" w:hAnsi="Times New Roman" w:cs="Times New Roman"/>
          <w:i/>
        </w:rPr>
        <w:t xml:space="preserve">Nature Microbiology, 10, </w:t>
      </w:r>
      <w:r>
        <w:rPr>
          <w:rFonts w:ascii="Times New Roman" w:hAnsi="Times New Roman" w:cs="Times New Roman"/>
        </w:rPr>
        <w:t xml:space="preserve">87-99. </w:t>
      </w:r>
      <w:hyperlink r:id="rId13" w:history="1">
        <w:r w:rsidRPr="003122BA">
          <w:rPr>
            <w:rStyle w:val="Hyperlink"/>
            <w:rFonts w:ascii="Times New Roman" w:hAnsi="Times New Roman" w:cs="Times New Roman"/>
          </w:rPr>
          <w:t>https://doi.org/10.1038/nrmicro2714</w:t>
        </w:r>
      </w:hyperlink>
      <w:r>
        <w:rPr>
          <w:rFonts w:ascii="Times New Roman" w:hAnsi="Times New Roman" w:cs="Times New Roman"/>
        </w:rPr>
        <w:t xml:space="preserve"> </w:t>
      </w:r>
    </w:p>
    <w:p w14:paraId="32B51532" w14:textId="77777777" w:rsidR="00795081" w:rsidRDefault="00795081" w:rsidP="00795081">
      <w:pPr>
        <w:rPr>
          <w:rFonts w:ascii="Times New Roman" w:eastAsia="AdvGulliv-R" w:hAnsi="Times New Roman" w:cs="Times New Roman"/>
        </w:rPr>
      </w:pPr>
      <w:proofErr w:type="spellStart"/>
      <w:r>
        <w:rPr>
          <w:rFonts w:ascii="Times New Roman" w:eastAsia="AdvGulliv-R" w:hAnsi="Times New Roman" w:cs="Times New Roman"/>
        </w:rPr>
        <w:t>Vourch</w:t>
      </w:r>
      <w:proofErr w:type="spellEnd"/>
      <w:r>
        <w:rPr>
          <w:rFonts w:ascii="Times New Roman" w:eastAsia="AdvGulliv-R" w:hAnsi="Times New Roman" w:cs="Times New Roman"/>
        </w:rPr>
        <w:t xml:space="preserve">, G., </w:t>
      </w:r>
      <w:proofErr w:type="spellStart"/>
      <w:r>
        <w:rPr>
          <w:rFonts w:ascii="Times New Roman" w:eastAsia="AdvGulliv-R" w:hAnsi="Times New Roman" w:cs="Times New Roman"/>
        </w:rPr>
        <w:t>Abrial</w:t>
      </w:r>
      <w:proofErr w:type="spellEnd"/>
      <w:r>
        <w:rPr>
          <w:rFonts w:ascii="Times New Roman" w:eastAsia="AdvGulliv-R" w:hAnsi="Times New Roman" w:cs="Times New Roman"/>
        </w:rPr>
        <w:t xml:space="preserve">, D., </w:t>
      </w:r>
      <w:proofErr w:type="spellStart"/>
      <w:r>
        <w:rPr>
          <w:rFonts w:ascii="Times New Roman" w:eastAsia="AdvGulliv-R" w:hAnsi="Times New Roman" w:cs="Times New Roman"/>
        </w:rPr>
        <w:t>Bord</w:t>
      </w:r>
      <w:proofErr w:type="spellEnd"/>
      <w:r>
        <w:rPr>
          <w:rFonts w:ascii="Times New Roman" w:eastAsia="AdvGulliv-R" w:hAnsi="Times New Roman" w:cs="Times New Roman"/>
        </w:rPr>
        <w:t xml:space="preserve">, S., </w:t>
      </w:r>
      <w:proofErr w:type="spellStart"/>
      <w:r>
        <w:rPr>
          <w:rFonts w:ascii="Times New Roman" w:eastAsia="AdvGulliv-R" w:hAnsi="Times New Roman" w:cs="Times New Roman"/>
        </w:rPr>
        <w:t>Jacquot</w:t>
      </w:r>
      <w:proofErr w:type="spellEnd"/>
      <w:r>
        <w:rPr>
          <w:rFonts w:ascii="Times New Roman" w:eastAsia="AdvGulliv-R" w:hAnsi="Times New Roman" w:cs="Times New Roman"/>
        </w:rPr>
        <w:t xml:space="preserve">, M., </w:t>
      </w:r>
      <w:proofErr w:type="spellStart"/>
      <w:r>
        <w:rPr>
          <w:rFonts w:ascii="Times New Roman" w:eastAsia="AdvGulliv-R" w:hAnsi="Times New Roman" w:cs="Times New Roman"/>
        </w:rPr>
        <w:t>Masseglia</w:t>
      </w:r>
      <w:proofErr w:type="spellEnd"/>
      <w:r>
        <w:rPr>
          <w:rFonts w:ascii="Times New Roman" w:eastAsia="AdvGulliv-R" w:hAnsi="Times New Roman" w:cs="Times New Roman"/>
        </w:rPr>
        <w:t xml:space="preserve">, S., </w:t>
      </w:r>
      <w:proofErr w:type="spellStart"/>
      <w:r>
        <w:rPr>
          <w:rFonts w:ascii="Times New Roman" w:eastAsia="AdvGulliv-R" w:hAnsi="Times New Roman" w:cs="Times New Roman"/>
        </w:rPr>
        <w:t>Poux</w:t>
      </w:r>
      <w:proofErr w:type="spellEnd"/>
      <w:r>
        <w:rPr>
          <w:rFonts w:ascii="Times New Roman" w:eastAsia="AdvGulliv-R" w:hAnsi="Times New Roman" w:cs="Times New Roman"/>
        </w:rPr>
        <w:t xml:space="preserve">, V., </w:t>
      </w:r>
      <w:proofErr w:type="spellStart"/>
      <w:r>
        <w:rPr>
          <w:rFonts w:ascii="Times New Roman" w:eastAsia="AdvGulliv-R" w:hAnsi="Times New Roman" w:cs="Times New Roman"/>
        </w:rPr>
        <w:t>Pisanu</w:t>
      </w:r>
      <w:proofErr w:type="spellEnd"/>
      <w:r>
        <w:rPr>
          <w:rFonts w:ascii="Times New Roman" w:eastAsia="AdvGulliv-R" w:hAnsi="Times New Roman" w:cs="Times New Roman"/>
        </w:rPr>
        <w:t xml:space="preserve">, B., </w:t>
      </w:r>
      <w:proofErr w:type="spellStart"/>
      <w:r>
        <w:rPr>
          <w:rFonts w:ascii="Times New Roman" w:eastAsia="AdvGulliv-R" w:hAnsi="Times New Roman" w:cs="Times New Roman"/>
        </w:rPr>
        <w:t>Bailly</w:t>
      </w:r>
      <w:proofErr w:type="spellEnd"/>
      <w:r>
        <w:rPr>
          <w:rFonts w:ascii="Times New Roman" w:eastAsia="AdvGulliv-R" w:hAnsi="Times New Roman" w:cs="Times New Roman"/>
        </w:rPr>
        <w:t xml:space="preserve">, X., &amp; </w:t>
      </w:r>
    </w:p>
    <w:p w14:paraId="67FAFBA0" w14:textId="77777777" w:rsidR="00795081" w:rsidRDefault="00795081" w:rsidP="00795081">
      <w:pPr>
        <w:ind w:left="720"/>
        <w:rPr>
          <w:rFonts w:ascii="Times New Roman" w:eastAsia="AdvGulliv-R" w:hAnsi="Times New Roman" w:cs="Times New Roman"/>
        </w:rPr>
      </w:pPr>
      <w:proofErr w:type="spellStart"/>
      <w:r>
        <w:rPr>
          <w:rFonts w:ascii="Times New Roman" w:eastAsia="AdvGulliv-R" w:hAnsi="Times New Roman" w:cs="Times New Roman"/>
        </w:rPr>
        <w:t>Chapuis</w:t>
      </w:r>
      <w:proofErr w:type="spellEnd"/>
      <w:r>
        <w:rPr>
          <w:rFonts w:ascii="Times New Roman" w:eastAsia="AdvGulliv-R" w:hAnsi="Times New Roman" w:cs="Times New Roman"/>
        </w:rPr>
        <w:t>, J. (2016). Mapping human risk of infection with</w:t>
      </w:r>
      <w:r>
        <w:rPr>
          <w:rFonts w:ascii="Times New Roman" w:eastAsia="AdvGulliv-R" w:hAnsi="Times New Roman" w:cs="Times New Roman"/>
          <w:i/>
        </w:rPr>
        <w:t xml:space="preserve"> Borrelia burgdorferi</w:t>
      </w:r>
      <w:r>
        <w:rPr>
          <w:rFonts w:ascii="Times New Roman" w:eastAsia="AdvGulliv-R" w:hAnsi="Times New Roman" w:cs="Times New Roman"/>
        </w:rPr>
        <w:t xml:space="preserve"> </w:t>
      </w:r>
      <w:proofErr w:type="spellStart"/>
      <w:r>
        <w:rPr>
          <w:rFonts w:ascii="Times New Roman" w:eastAsia="AdvGulliv-R" w:hAnsi="Times New Roman" w:cs="Times New Roman"/>
        </w:rPr>
        <w:t>sensu</w:t>
      </w:r>
      <w:proofErr w:type="spellEnd"/>
      <w:r>
        <w:rPr>
          <w:rFonts w:ascii="Times New Roman" w:eastAsia="AdvGulliv-R" w:hAnsi="Times New Roman" w:cs="Times New Roman"/>
        </w:rPr>
        <w:t xml:space="preserve"> </w:t>
      </w:r>
      <w:proofErr w:type="spellStart"/>
      <w:r>
        <w:rPr>
          <w:rFonts w:ascii="Times New Roman" w:eastAsia="AdvGulliv-R" w:hAnsi="Times New Roman" w:cs="Times New Roman"/>
        </w:rPr>
        <w:t>lato</w:t>
      </w:r>
      <w:proofErr w:type="spellEnd"/>
      <w:r>
        <w:rPr>
          <w:rFonts w:ascii="Times New Roman" w:eastAsia="AdvGulliv-R" w:hAnsi="Times New Roman" w:cs="Times New Roman"/>
        </w:rPr>
        <w:t xml:space="preserve">, the agent of Lyme in </w:t>
      </w:r>
      <w:proofErr w:type="spellStart"/>
      <w:r>
        <w:rPr>
          <w:rFonts w:ascii="Times New Roman" w:eastAsia="AdvGulliv-R" w:hAnsi="Times New Roman" w:cs="Times New Roman"/>
        </w:rPr>
        <w:t>periurban</w:t>
      </w:r>
      <w:proofErr w:type="spellEnd"/>
      <w:r>
        <w:rPr>
          <w:rFonts w:ascii="Times New Roman" w:eastAsia="AdvGulliv-R" w:hAnsi="Times New Roman" w:cs="Times New Roman"/>
        </w:rPr>
        <w:t xml:space="preserve"> forest in France. </w:t>
      </w:r>
      <w:r>
        <w:rPr>
          <w:rFonts w:ascii="Times New Roman" w:eastAsia="AdvGulliv-R" w:hAnsi="Times New Roman" w:cs="Times New Roman"/>
          <w:i/>
        </w:rPr>
        <w:t xml:space="preserve">Ticks and Tick-Borne Diseases, 7, </w:t>
      </w:r>
      <w:r>
        <w:rPr>
          <w:rFonts w:ascii="Times New Roman" w:eastAsia="AdvGulliv-R" w:hAnsi="Times New Roman" w:cs="Times New Roman"/>
        </w:rPr>
        <w:t xml:space="preserve">644-652. </w:t>
      </w:r>
      <w:hyperlink r:id="rId14" w:history="1">
        <w:r w:rsidRPr="007B62C6">
          <w:rPr>
            <w:rStyle w:val="Hyperlink"/>
            <w:rFonts w:ascii="Times New Roman" w:eastAsia="AdvGulliv-R" w:hAnsi="Times New Roman" w:cs="Times New Roman"/>
          </w:rPr>
          <w:t>https://doi.org/10.1016/j.ttbdis.2016.02.008</w:t>
        </w:r>
      </w:hyperlink>
      <w:r>
        <w:rPr>
          <w:rFonts w:ascii="Times New Roman" w:eastAsia="AdvGulliv-R" w:hAnsi="Times New Roman" w:cs="Times New Roman"/>
        </w:rPr>
        <w:t xml:space="preserve"> </w:t>
      </w:r>
    </w:p>
    <w:p w14:paraId="22940883" w14:textId="77777777" w:rsidR="00795081" w:rsidRDefault="00795081" w:rsidP="00795081">
      <w:pPr>
        <w:rPr>
          <w:rFonts w:ascii="Times New Roman" w:eastAsia="AdvGulliv-R" w:hAnsi="Times New Roman" w:cs="Times New Roman"/>
        </w:rPr>
      </w:pPr>
      <w:r>
        <w:rPr>
          <w:rFonts w:ascii="Times New Roman" w:eastAsia="AdvGulliv-R" w:hAnsi="Times New Roman" w:cs="Times New Roman"/>
        </w:rPr>
        <w:t xml:space="preserve">Ward, S.E. &amp; Brown, R.D. (2003). A framework for incorporating the prevention of Lyme </w:t>
      </w:r>
    </w:p>
    <w:p w14:paraId="241745D6" w14:textId="77777777" w:rsidR="00795081" w:rsidRPr="00B603F6" w:rsidRDefault="00795081" w:rsidP="00795081">
      <w:pPr>
        <w:ind w:left="720"/>
        <w:rPr>
          <w:rFonts w:ascii="Times New Roman" w:eastAsia="AdvGulliv-R" w:hAnsi="Times New Roman" w:cs="Times New Roman"/>
        </w:rPr>
      </w:pPr>
      <w:proofErr w:type="gramStart"/>
      <w:r>
        <w:rPr>
          <w:rFonts w:ascii="Times New Roman" w:eastAsia="AdvGulliv-R" w:hAnsi="Times New Roman" w:cs="Times New Roman"/>
        </w:rPr>
        <w:t>disease</w:t>
      </w:r>
      <w:proofErr w:type="gramEnd"/>
      <w:r>
        <w:rPr>
          <w:rFonts w:ascii="Times New Roman" w:eastAsia="AdvGulliv-R" w:hAnsi="Times New Roman" w:cs="Times New Roman"/>
        </w:rPr>
        <w:t xml:space="preserve"> transmission into the landscape planning and design process. </w:t>
      </w:r>
      <w:r>
        <w:rPr>
          <w:rFonts w:ascii="Times New Roman" w:eastAsia="AdvGulliv-R" w:hAnsi="Times New Roman" w:cs="Times New Roman"/>
          <w:i/>
        </w:rPr>
        <w:t xml:space="preserve">Landscape and Urban Planning, 66, </w:t>
      </w:r>
      <w:r>
        <w:rPr>
          <w:rFonts w:ascii="Times New Roman" w:eastAsia="AdvGulliv-R" w:hAnsi="Times New Roman" w:cs="Times New Roman"/>
        </w:rPr>
        <w:t xml:space="preserve">91-106. </w:t>
      </w:r>
      <w:hyperlink r:id="rId15" w:history="1">
        <w:r w:rsidRPr="003122BA">
          <w:rPr>
            <w:rStyle w:val="Hyperlink"/>
            <w:rFonts w:ascii="Times New Roman" w:eastAsia="AdvGulliv-R" w:hAnsi="Times New Roman" w:cs="Times New Roman"/>
          </w:rPr>
          <w:t>https://doi.org/10.1016/S0169-2046(03)00097-5</w:t>
        </w:r>
      </w:hyperlink>
      <w:r>
        <w:rPr>
          <w:rFonts w:ascii="Times New Roman" w:eastAsia="AdvGulliv-R" w:hAnsi="Times New Roman" w:cs="Times New Roman"/>
        </w:rPr>
        <w:t xml:space="preserve"> </w:t>
      </w:r>
    </w:p>
    <w:p w14:paraId="2BDED7B8" w14:textId="77777777" w:rsidR="00795081" w:rsidRDefault="00795081" w:rsidP="00795081">
      <w:pPr>
        <w:rPr>
          <w:rFonts w:ascii="Times New Roman" w:eastAsia="AdvGulliv-R" w:hAnsi="Times New Roman" w:cs="Times New Roman"/>
        </w:rPr>
      </w:pPr>
      <w:r>
        <w:rPr>
          <w:rFonts w:ascii="Times New Roman" w:eastAsia="AdvGulliv-R" w:hAnsi="Times New Roman" w:cs="Times New Roman"/>
        </w:rPr>
        <w:t xml:space="preserve">Wright, W.F., Riedel, D.J., </w:t>
      </w:r>
      <w:proofErr w:type="spellStart"/>
      <w:r>
        <w:rPr>
          <w:rFonts w:ascii="Times New Roman" w:eastAsia="AdvGulliv-R" w:hAnsi="Times New Roman" w:cs="Times New Roman"/>
        </w:rPr>
        <w:t>Talwani</w:t>
      </w:r>
      <w:proofErr w:type="spellEnd"/>
      <w:r>
        <w:rPr>
          <w:rFonts w:ascii="Times New Roman" w:eastAsia="AdvGulliv-R" w:hAnsi="Times New Roman" w:cs="Times New Roman"/>
        </w:rPr>
        <w:t>, R., &amp; Gilliam, B.L. (2012). Diagnosis and management of</w:t>
      </w:r>
      <w:r>
        <w:rPr>
          <w:rFonts w:ascii="Times New Roman" w:eastAsia="AdvGulliv-R" w:hAnsi="Times New Roman" w:cs="Times New Roman"/>
        </w:rPr>
        <w:tab/>
        <w:t xml:space="preserve"> </w:t>
      </w:r>
    </w:p>
    <w:p w14:paraId="1F06716E" w14:textId="77777777" w:rsidR="00CD0E58" w:rsidRPr="002602EC" w:rsidRDefault="00795081" w:rsidP="002602EC">
      <w:pPr>
        <w:ind w:firstLine="720"/>
        <w:rPr>
          <w:rFonts w:ascii="Times New Roman" w:eastAsia="AdvGulliv-R" w:hAnsi="Times New Roman" w:cs="Times New Roman"/>
        </w:rPr>
      </w:pPr>
      <w:r>
        <w:rPr>
          <w:rFonts w:ascii="Times New Roman" w:eastAsia="AdvGulliv-R" w:hAnsi="Times New Roman" w:cs="Times New Roman"/>
        </w:rPr>
        <w:t xml:space="preserve">Lyme disease. </w:t>
      </w:r>
      <w:r>
        <w:rPr>
          <w:rFonts w:ascii="Times New Roman" w:eastAsia="AdvGulliv-R" w:hAnsi="Times New Roman" w:cs="Times New Roman"/>
          <w:i/>
        </w:rPr>
        <w:t>American Family Physician, 85</w:t>
      </w:r>
      <w:r w:rsidR="002602EC">
        <w:rPr>
          <w:rFonts w:ascii="Times New Roman" w:eastAsia="AdvGulliv-R" w:hAnsi="Times New Roman" w:cs="Times New Roman"/>
        </w:rPr>
        <w:t>(11), 1087-1093.</w:t>
      </w:r>
    </w:p>
    <w:sectPr w:rsidR="00CD0E58" w:rsidRPr="00260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Gulliv-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171C9"/>
    <w:multiLevelType w:val="hybridMultilevel"/>
    <w:tmpl w:val="F836D6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595382"/>
    <w:multiLevelType w:val="hybridMultilevel"/>
    <w:tmpl w:val="CE58AC1E"/>
    <w:lvl w:ilvl="0" w:tplc="A754CC16">
      <w:start w:val="1"/>
      <w:numFmt w:val="decimal"/>
      <w:lvlText w:val="%1."/>
      <w:lvlJc w:val="left"/>
      <w:pPr>
        <w:tabs>
          <w:tab w:val="num" w:pos="720"/>
        </w:tabs>
        <w:ind w:left="720" w:hanging="360"/>
      </w:pPr>
    </w:lvl>
    <w:lvl w:ilvl="1" w:tplc="00E0CBA4" w:tentative="1">
      <w:start w:val="1"/>
      <w:numFmt w:val="decimal"/>
      <w:lvlText w:val="%2."/>
      <w:lvlJc w:val="left"/>
      <w:pPr>
        <w:tabs>
          <w:tab w:val="num" w:pos="1440"/>
        </w:tabs>
        <w:ind w:left="1440" w:hanging="360"/>
      </w:pPr>
    </w:lvl>
    <w:lvl w:ilvl="2" w:tplc="EB34C4F2" w:tentative="1">
      <w:start w:val="1"/>
      <w:numFmt w:val="decimal"/>
      <w:lvlText w:val="%3."/>
      <w:lvlJc w:val="left"/>
      <w:pPr>
        <w:tabs>
          <w:tab w:val="num" w:pos="2160"/>
        </w:tabs>
        <w:ind w:left="2160" w:hanging="360"/>
      </w:pPr>
    </w:lvl>
    <w:lvl w:ilvl="3" w:tplc="EFF64B96" w:tentative="1">
      <w:start w:val="1"/>
      <w:numFmt w:val="decimal"/>
      <w:lvlText w:val="%4."/>
      <w:lvlJc w:val="left"/>
      <w:pPr>
        <w:tabs>
          <w:tab w:val="num" w:pos="2880"/>
        </w:tabs>
        <w:ind w:left="2880" w:hanging="360"/>
      </w:pPr>
    </w:lvl>
    <w:lvl w:ilvl="4" w:tplc="4C8CFA38" w:tentative="1">
      <w:start w:val="1"/>
      <w:numFmt w:val="decimal"/>
      <w:lvlText w:val="%5."/>
      <w:lvlJc w:val="left"/>
      <w:pPr>
        <w:tabs>
          <w:tab w:val="num" w:pos="3600"/>
        </w:tabs>
        <w:ind w:left="3600" w:hanging="360"/>
      </w:pPr>
    </w:lvl>
    <w:lvl w:ilvl="5" w:tplc="C8B08898" w:tentative="1">
      <w:start w:val="1"/>
      <w:numFmt w:val="decimal"/>
      <w:lvlText w:val="%6."/>
      <w:lvlJc w:val="left"/>
      <w:pPr>
        <w:tabs>
          <w:tab w:val="num" w:pos="4320"/>
        </w:tabs>
        <w:ind w:left="4320" w:hanging="360"/>
      </w:pPr>
    </w:lvl>
    <w:lvl w:ilvl="6" w:tplc="CD98B70C" w:tentative="1">
      <w:start w:val="1"/>
      <w:numFmt w:val="decimal"/>
      <w:lvlText w:val="%7."/>
      <w:lvlJc w:val="left"/>
      <w:pPr>
        <w:tabs>
          <w:tab w:val="num" w:pos="5040"/>
        </w:tabs>
        <w:ind w:left="5040" w:hanging="360"/>
      </w:pPr>
    </w:lvl>
    <w:lvl w:ilvl="7" w:tplc="FDBE0024" w:tentative="1">
      <w:start w:val="1"/>
      <w:numFmt w:val="decimal"/>
      <w:lvlText w:val="%8."/>
      <w:lvlJc w:val="left"/>
      <w:pPr>
        <w:tabs>
          <w:tab w:val="num" w:pos="5760"/>
        </w:tabs>
        <w:ind w:left="5760" w:hanging="360"/>
      </w:pPr>
    </w:lvl>
    <w:lvl w:ilvl="8" w:tplc="C5BE8D24"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9C"/>
    <w:rsid w:val="0013054F"/>
    <w:rsid w:val="00131CE4"/>
    <w:rsid w:val="00145E9C"/>
    <w:rsid w:val="002602EC"/>
    <w:rsid w:val="002E5D5B"/>
    <w:rsid w:val="00347B9C"/>
    <w:rsid w:val="003502A4"/>
    <w:rsid w:val="003A479A"/>
    <w:rsid w:val="00414508"/>
    <w:rsid w:val="00434560"/>
    <w:rsid w:val="00462276"/>
    <w:rsid w:val="00583E01"/>
    <w:rsid w:val="00647349"/>
    <w:rsid w:val="00795081"/>
    <w:rsid w:val="007C5B25"/>
    <w:rsid w:val="008109B3"/>
    <w:rsid w:val="00910BD5"/>
    <w:rsid w:val="00B14D5D"/>
    <w:rsid w:val="00B31B21"/>
    <w:rsid w:val="00B87221"/>
    <w:rsid w:val="00C60F59"/>
    <w:rsid w:val="00C73CFB"/>
    <w:rsid w:val="00CD0E58"/>
    <w:rsid w:val="00D268FB"/>
    <w:rsid w:val="00DB35E0"/>
    <w:rsid w:val="00DC2713"/>
    <w:rsid w:val="00DC4FCC"/>
    <w:rsid w:val="00DC749F"/>
    <w:rsid w:val="00E30C3C"/>
    <w:rsid w:val="00EA6DBF"/>
    <w:rsid w:val="00E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97DA"/>
  <w15:chartTrackingRefBased/>
  <w15:docId w15:val="{1A56B31E-7CF3-4FB8-90C7-9B12CC68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E9C"/>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560"/>
    <w:pPr>
      <w:ind w:left="720"/>
      <w:contextualSpacing/>
    </w:pPr>
  </w:style>
  <w:style w:type="character" w:styleId="Hyperlink">
    <w:name w:val="Hyperlink"/>
    <w:basedOn w:val="DefaultParagraphFont"/>
    <w:uiPriority w:val="99"/>
    <w:unhideWhenUsed/>
    <w:rsid w:val="00795081"/>
    <w:rPr>
      <w:color w:val="0563C1" w:themeColor="hyperlink"/>
      <w:u w:val="single"/>
    </w:rPr>
  </w:style>
  <w:style w:type="character" w:styleId="CommentReference">
    <w:name w:val="annotation reference"/>
    <w:basedOn w:val="DefaultParagraphFont"/>
    <w:uiPriority w:val="99"/>
    <w:semiHidden/>
    <w:unhideWhenUsed/>
    <w:rsid w:val="00462276"/>
    <w:rPr>
      <w:sz w:val="16"/>
      <w:szCs w:val="16"/>
    </w:rPr>
  </w:style>
  <w:style w:type="paragraph" w:styleId="CommentText">
    <w:name w:val="annotation text"/>
    <w:basedOn w:val="Normal"/>
    <w:link w:val="CommentTextChar"/>
    <w:uiPriority w:val="99"/>
    <w:semiHidden/>
    <w:unhideWhenUsed/>
    <w:rsid w:val="00462276"/>
    <w:rPr>
      <w:sz w:val="20"/>
      <w:szCs w:val="20"/>
    </w:rPr>
  </w:style>
  <w:style w:type="character" w:customStyle="1" w:styleId="CommentTextChar">
    <w:name w:val="Comment Text Char"/>
    <w:basedOn w:val="DefaultParagraphFont"/>
    <w:link w:val="CommentText"/>
    <w:uiPriority w:val="99"/>
    <w:semiHidden/>
    <w:rsid w:val="00462276"/>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62276"/>
    <w:rPr>
      <w:b/>
      <w:bCs/>
    </w:rPr>
  </w:style>
  <w:style w:type="character" w:customStyle="1" w:styleId="CommentSubjectChar">
    <w:name w:val="Comment Subject Char"/>
    <w:basedOn w:val="CommentTextChar"/>
    <w:link w:val="CommentSubject"/>
    <w:uiPriority w:val="99"/>
    <w:semiHidden/>
    <w:rsid w:val="00462276"/>
    <w:rPr>
      <w:rFonts w:eastAsiaTheme="minorEastAsia"/>
      <w:b/>
      <w:bCs/>
      <w:sz w:val="20"/>
      <w:szCs w:val="20"/>
      <w:lang w:eastAsia="zh-CN"/>
    </w:rPr>
  </w:style>
  <w:style w:type="paragraph" w:styleId="BalloonText">
    <w:name w:val="Balloon Text"/>
    <w:basedOn w:val="Normal"/>
    <w:link w:val="BalloonTextChar"/>
    <w:uiPriority w:val="99"/>
    <w:semiHidden/>
    <w:unhideWhenUsed/>
    <w:rsid w:val="00462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276"/>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847761">
      <w:bodyDiv w:val="1"/>
      <w:marLeft w:val="0"/>
      <w:marRight w:val="0"/>
      <w:marTop w:val="0"/>
      <w:marBottom w:val="0"/>
      <w:divBdr>
        <w:top w:val="none" w:sz="0" w:space="0" w:color="auto"/>
        <w:left w:val="none" w:sz="0" w:space="0" w:color="auto"/>
        <w:bottom w:val="none" w:sz="0" w:space="0" w:color="auto"/>
        <w:right w:val="none" w:sz="0" w:space="0" w:color="auto"/>
      </w:divBdr>
    </w:div>
    <w:div w:id="1068115390">
      <w:bodyDiv w:val="1"/>
      <w:marLeft w:val="0"/>
      <w:marRight w:val="0"/>
      <w:marTop w:val="0"/>
      <w:marBottom w:val="0"/>
      <w:divBdr>
        <w:top w:val="none" w:sz="0" w:space="0" w:color="auto"/>
        <w:left w:val="none" w:sz="0" w:space="0" w:color="auto"/>
        <w:bottom w:val="none" w:sz="0" w:space="0" w:color="auto"/>
        <w:right w:val="none" w:sz="0" w:space="0" w:color="auto"/>
      </w:divBdr>
    </w:div>
    <w:div w:id="1420369439">
      <w:bodyDiv w:val="1"/>
      <w:marLeft w:val="0"/>
      <w:marRight w:val="0"/>
      <w:marTop w:val="0"/>
      <w:marBottom w:val="0"/>
      <w:divBdr>
        <w:top w:val="none" w:sz="0" w:space="0" w:color="auto"/>
        <w:left w:val="none" w:sz="0" w:space="0" w:color="auto"/>
        <w:bottom w:val="none" w:sz="0" w:space="0" w:color="auto"/>
        <w:right w:val="none" w:sz="0" w:space="0" w:color="auto"/>
      </w:divBdr>
      <w:divsChild>
        <w:div w:id="1568691057">
          <w:marLeft w:val="360"/>
          <w:marRight w:val="0"/>
          <w:marTop w:val="0"/>
          <w:marBottom w:val="0"/>
          <w:divBdr>
            <w:top w:val="none" w:sz="0" w:space="0" w:color="auto"/>
            <w:left w:val="none" w:sz="0" w:space="0" w:color="auto"/>
            <w:bottom w:val="none" w:sz="0" w:space="0" w:color="auto"/>
            <w:right w:val="none" w:sz="0" w:space="0" w:color="auto"/>
          </w:divBdr>
        </w:div>
        <w:div w:id="1574966112">
          <w:marLeft w:val="360"/>
          <w:marRight w:val="0"/>
          <w:marTop w:val="0"/>
          <w:marBottom w:val="0"/>
          <w:divBdr>
            <w:top w:val="none" w:sz="0" w:space="0" w:color="auto"/>
            <w:left w:val="none" w:sz="0" w:space="0" w:color="auto"/>
            <w:bottom w:val="none" w:sz="0" w:space="0" w:color="auto"/>
            <w:right w:val="none" w:sz="0" w:space="0" w:color="auto"/>
          </w:divBdr>
        </w:div>
      </w:divsChild>
    </w:div>
    <w:div w:id="1895044835">
      <w:bodyDiv w:val="1"/>
      <w:marLeft w:val="0"/>
      <w:marRight w:val="0"/>
      <w:marTop w:val="0"/>
      <w:marBottom w:val="0"/>
      <w:divBdr>
        <w:top w:val="none" w:sz="0" w:space="0" w:color="auto"/>
        <w:left w:val="none" w:sz="0" w:space="0" w:color="auto"/>
        <w:bottom w:val="none" w:sz="0" w:space="0" w:color="auto"/>
        <w:right w:val="none" w:sz="0" w:space="0" w:color="auto"/>
      </w:divBdr>
    </w:div>
    <w:div w:id="190043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38/nrmicro2714"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02/ecy.23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98/rstb.2016.0123" TargetMode="External"/><Relationship Id="rId5" Type="http://schemas.openxmlformats.org/officeDocument/2006/relationships/chart" Target="charts/chart1.xml"/><Relationship Id="rId15" Type="http://schemas.openxmlformats.org/officeDocument/2006/relationships/hyperlink" Target="https://doi.org/10.1016/S0169-2046(03)00097-5" TargetMode="External"/><Relationship Id="rId10" Type="http://schemas.openxmlformats.org/officeDocument/2006/relationships/hyperlink" Target="https://doi.org/10.1128/IAI.73.12.7869-7877.2005" TargetMode="External"/><Relationship Id="rId4" Type="http://schemas.openxmlformats.org/officeDocument/2006/relationships/webSettings" Target="webSettings.xml"/><Relationship Id="rId9" Type="http://schemas.openxmlformats.org/officeDocument/2006/relationships/hyperlink" Target="https://doi.org/10.1002/ecs2.2519" TargetMode="External"/><Relationship Id="rId14" Type="http://schemas.openxmlformats.org/officeDocument/2006/relationships/hyperlink" Target="https://doi.org/10.1016/j.ttbdis.2016.02.008"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i="1"/>
              <a:t>Borrelia</a:t>
            </a:r>
            <a:r>
              <a:rPr lang="en-US" sz="1200" i="1" baseline="0"/>
              <a:t> </a:t>
            </a:r>
            <a:r>
              <a:rPr lang="en-US" sz="1200" i="0" baseline="0"/>
              <a:t>infection in small mammals</a:t>
            </a:r>
            <a:endParaRPr lang="en-US" sz="1200" i="1"/>
          </a:p>
        </c:rich>
      </c:tx>
      <c:layout>
        <c:manualLayout>
          <c:xMode val="edge"/>
          <c:yMode val="edge"/>
          <c:x val="0.24721260442409262"/>
          <c:y val="4.206147468541453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548381452318461"/>
          <c:y val="0.17171296296296296"/>
          <c:w val="0.85507174103237094"/>
          <c:h val="0.60477580927384089"/>
        </c:manualLayout>
      </c:layout>
      <c:barChart>
        <c:barDir val="col"/>
        <c:grouping val="stacked"/>
        <c:varyColors val="0"/>
        <c:ser>
          <c:idx val="0"/>
          <c:order val="0"/>
          <c:tx>
            <c:strRef>
              <c:f>Sheet2!$B$1</c:f>
              <c:strCache>
                <c:ptCount val="1"/>
                <c:pt idx="0">
                  <c:v>Peromyscus spp.</c:v>
                </c:pt>
              </c:strCache>
            </c:strRef>
          </c:tx>
          <c:spPr>
            <a:solidFill>
              <a:schemeClr val="accent1"/>
            </a:solidFill>
            <a:ln>
              <a:noFill/>
            </a:ln>
            <a:effectLst/>
          </c:spPr>
          <c:invertIfNegative val="0"/>
          <c:cat>
            <c:strRef>
              <c:f>Sheet2!$A$2:$A$3</c:f>
              <c:strCache>
                <c:ptCount val="2"/>
                <c:pt idx="0">
                  <c:v>HW</c:v>
                </c:pt>
                <c:pt idx="1">
                  <c:v>ASH</c:v>
                </c:pt>
              </c:strCache>
            </c:strRef>
          </c:cat>
          <c:val>
            <c:numRef>
              <c:f>Sheet2!$B$2:$B$3</c:f>
              <c:numCache>
                <c:formatCode>General</c:formatCode>
                <c:ptCount val="2"/>
                <c:pt idx="0">
                  <c:v>43.846153846153847</c:v>
                </c:pt>
                <c:pt idx="1">
                  <c:v>31.25</c:v>
                </c:pt>
              </c:numCache>
            </c:numRef>
          </c:val>
        </c:ser>
        <c:ser>
          <c:idx val="1"/>
          <c:order val="1"/>
          <c:tx>
            <c:strRef>
              <c:f>Sheet2!$C$1</c:f>
              <c:strCache>
                <c:ptCount val="1"/>
                <c:pt idx="0">
                  <c:v>Chipmunk</c:v>
                </c:pt>
              </c:strCache>
            </c:strRef>
          </c:tx>
          <c:spPr>
            <a:solidFill>
              <a:schemeClr val="accent2"/>
            </a:solidFill>
            <a:ln>
              <a:noFill/>
            </a:ln>
            <a:effectLst/>
          </c:spPr>
          <c:invertIfNegative val="0"/>
          <c:cat>
            <c:strRef>
              <c:f>Sheet2!$A$2:$A$3</c:f>
              <c:strCache>
                <c:ptCount val="2"/>
                <c:pt idx="0">
                  <c:v>HW</c:v>
                </c:pt>
                <c:pt idx="1">
                  <c:v>ASH</c:v>
                </c:pt>
              </c:strCache>
            </c:strRef>
          </c:cat>
          <c:val>
            <c:numRef>
              <c:f>Sheet2!$C$2:$C$3</c:f>
              <c:numCache>
                <c:formatCode>General</c:formatCode>
                <c:ptCount val="2"/>
                <c:pt idx="0">
                  <c:v>11.538461538461538</c:v>
                </c:pt>
                <c:pt idx="1">
                  <c:v>0</c:v>
                </c:pt>
              </c:numCache>
            </c:numRef>
          </c:val>
        </c:ser>
        <c:ser>
          <c:idx val="2"/>
          <c:order val="2"/>
          <c:tx>
            <c:strRef>
              <c:f>Sheet2!$D$1</c:f>
              <c:strCache>
                <c:ptCount val="1"/>
                <c:pt idx="0">
                  <c:v>Red-backed vole</c:v>
                </c:pt>
              </c:strCache>
            </c:strRef>
          </c:tx>
          <c:spPr>
            <a:solidFill>
              <a:schemeClr val="accent3"/>
            </a:solidFill>
            <a:ln>
              <a:noFill/>
            </a:ln>
            <a:effectLst/>
          </c:spPr>
          <c:invertIfNegative val="0"/>
          <c:cat>
            <c:strRef>
              <c:f>Sheet2!$A$2:$A$3</c:f>
              <c:strCache>
                <c:ptCount val="2"/>
                <c:pt idx="0">
                  <c:v>HW</c:v>
                </c:pt>
                <c:pt idx="1">
                  <c:v>ASH</c:v>
                </c:pt>
              </c:strCache>
            </c:strRef>
          </c:cat>
          <c:val>
            <c:numRef>
              <c:f>Sheet2!$D$2:$D$3</c:f>
              <c:numCache>
                <c:formatCode>General</c:formatCode>
                <c:ptCount val="2"/>
                <c:pt idx="0">
                  <c:v>0.76923076923076927</c:v>
                </c:pt>
                <c:pt idx="1">
                  <c:v>13.750000000000002</c:v>
                </c:pt>
              </c:numCache>
            </c:numRef>
          </c:val>
        </c:ser>
        <c:ser>
          <c:idx val="3"/>
          <c:order val="3"/>
          <c:tx>
            <c:strRef>
              <c:f>Sheet2!$E$1</c:f>
              <c:strCache>
                <c:ptCount val="1"/>
                <c:pt idx="0">
                  <c:v>Woodland jumping mouse</c:v>
                </c:pt>
              </c:strCache>
            </c:strRef>
          </c:tx>
          <c:spPr>
            <a:solidFill>
              <a:schemeClr val="accent4"/>
            </a:solidFill>
            <a:ln>
              <a:noFill/>
            </a:ln>
            <a:effectLst/>
          </c:spPr>
          <c:invertIfNegative val="0"/>
          <c:cat>
            <c:strRef>
              <c:f>Sheet2!$A$2:$A$3</c:f>
              <c:strCache>
                <c:ptCount val="2"/>
                <c:pt idx="0">
                  <c:v>HW</c:v>
                </c:pt>
                <c:pt idx="1">
                  <c:v>ASH</c:v>
                </c:pt>
              </c:strCache>
            </c:strRef>
          </c:cat>
          <c:val>
            <c:numRef>
              <c:f>Sheet2!$E$2:$E$3</c:f>
              <c:numCache>
                <c:formatCode>General</c:formatCode>
                <c:ptCount val="2"/>
                <c:pt idx="0">
                  <c:v>0</c:v>
                </c:pt>
                <c:pt idx="1">
                  <c:v>1.25</c:v>
                </c:pt>
              </c:numCache>
            </c:numRef>
          </c:val>
        </c:ser>
        <c:dLbls>
          <c:showLegendKey val="0"/>
          <c:showVal val="0"/>
          <c:showCatName val="0"/>
          <c:showSerName val="0"/>
          <c:showPercent val="0"/>
          <c:showBubbleSize val="0"/>
        </c:dLbls>
        <c:gapWidth val="150"/>
        <c:overlap val="100"/>
        <c:axId val="386370248"/>
        <c:axId val="386372208"/>
      </c:barChart>
      <c:catAx>
        <c:axId val="386370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86372208"/>
        <c:crosses val="autoZero"/>
        <c:auto val="1"/>
        <c:lblAlgn val="ctr"/>
        <c:lblOffset val="100"/>
        <c:noMultiLvlLbl val="0"/>
      </c:catAx>
      <c:valAx>
        <c:axId val="386372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dirty="0" smtClean="0"/>
                  <a:t>% </a:t>
                </a:r>
                <a:r>
                  <a:rPr lang="en-US" sz="1100" i="1" dirty="0" smtClean="0"/>
                  <a:t>Borrelia</a:t>
                </a:r>
                <a:r>
                  <a:rPr lang="en-US" sz="1100" dirty="0" smtClean="0"/>
                  <a:t> positive</a:t>
                </a:r>
                <a:endParaRPr lang="en-US" sz="1100" dirty="0"/>
              </a:p>
            </c:rich>
          </c:tx>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86370248"/>
        <c:crosses val="autoZero"/>
        <c:crossBetween val="between"/>
      </c:valAx>
      <c:spPr>
        <a:noFill/>
        <a:ln>
          <a:noFill/>
        </a:ln>
        <a:effectLst/>
      </c:spPr>
    </c:plotArea>
    <c:legend>
      <c:legendPos val="b"/>
      <c:layout>
        <c:manualLayout>
          <c:xMode val="edge"/>
          <c:yMode val="edge"/>
          <c:x val="8.8565321837695929E-2"/>
          <c:y val="0.89243051062031131"/>
          <c:w val="0.89999986985852609"/>
          <c:h val="6.02503484767003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Nelson</dc:creator>
  <cp:keywords/>
  <dc:description/>
  <cp:lastModifiedBy>Miranda Nelson</cp:lastModifiedBy>
  <cp:revision>2</cp:revision>
  <dcterms:created xsi:type="dcterms:W3CDTF">2019-12-03T17:03:00Z</dcterms:created>
  <dcterms:modified xsi:type="dcterms:W3CDTF">2019-12-03T17:03:00Z</dcterms:modified>
</cp:coreProperties>
</file>